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別記様式第２号（第３条関係）</w:t>
      </w:r>
    </w:p>
    <w:p>
      <w:pPr>
        <w:pStyle w:val="15"/>
        <w:rPr>
          <w:rFonts w:hint="default" w:asciiTheme="minorEastAsia" w:hAnsiTheme="minorEastAsia" w:eastAsiaTheme="minorEastAsia"/>
          <w:color w:val="auto"/>
          <w:sz w:val="21"/>
        </w:rPr>
      </w:pPr>
    </w:p>
    <w:p>
      <w:pPr>
        <w:pStyle w:val="0"/>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pacing w:val="-8"/>
          <w:sz w:val="21"/>
        </w:rPr>
        <w:t>名寄市</w:t>
      </w:r>
      <w:r>
        <w:rPr>
          <w:rFonts w:hint="eastAsia" w:asciiTheme="minorEastAsia" w:hAnsiTheme="minorEastAsia" w:eastAsiaTheme="minorEastAsia"/>
          <w:color w:val="auto"/>
          <w:sz w:val="21"/>
        </w:rPr>
        <w:t>認定地域クラブ活動認定要件確認書</w:t>
      </w:r>
    </w:p>
    <w:p>
      <w:pPr>
        <w:pStyle w:val="0"/>
        <w:snapToGrid w:val="0"/>
        <w:ind w:left="0" w:leftChars="0" w:firstLineChars="0"/>
        <w:jc w:val="left"/>
        <w:rPr>
          <w:rFonts w:hint="default" w:asciiTheme="minorEastAsia" w:hAnsiTheme="minorEastAsia" w:eastAsiaTheme="minorEastAsia"/>
          <w:color w:val="auto"/>
          <w:sz w:val="21"/>
        </w:rPr>
      </w:pPr>
    </w:p>
    <w:p>
      <w:pPr>
        <w:pStyle w:val="0"/>
        <w:snapToGrid w:val="0"/>
        <w:ind w:left="241" w:hanging="241" w:hangingChars="100"/>
        <w:jc w:val="left"/>
        <w:rPr>
          <w:rFonts w:hint="default" w:asciiTheme="minorEastAsia" w:hAnsiTheme="minorEastAsia" w:eastAsiaTheme="minorEastAsia"/>
          <w:b w:val="1"/>
          <w:color w:val="auto"/>
          <w:sz w:val="21"/>
        </w:rPr>
      </w:pPr>
      <w:r>
        <w:rPr>
          <w:rFonts w:hint="eastAsia" w:asciiTheme="minorEastAsia" w:hAnsiTheme="minorEastAsia" w:eastAsiaTheme="minorEastAsia"/>
          <w:b w:val="1"/>
          <w:color w:val="auto"/>
          <w:sz w:val="21"/>
        </w:rPr>
        <w:t>①</w:t>
      </w:r>
      <w:r>
        <w:rPr>
          <w:rFonts w:hint="default" w:asciiTheme="minorEastAsia" w:hAnsiTheme="minorEastAsia" w:eastAsiaTheme="minorEastAsia"/>
          <w:b w:val="1"/>
          <w:color w:val="auto"/>
          <w:sz w:val="21"/>
        </w:rPr>
        <w:t xml:space="preserve"> </w:t>
      </w:r>
      <w:r>
        <w:rPr>
          <w:rFonts w:hint="default" w:asciiTheme="minorEastAsia" w:hAnsiTheme="minorEastAsia" w:eastAsiaTheme="minorEastAsia"/>
          <w:b w:val="1"/>
          <w:color w:val="auto"/>
          <w:sz w:val="21"/>
        </w:rPr>
        <w:t>学校部活動が担ってきた教育的意義を継承・発展させた活動であり、生徒が身近な地域で希望する活動に主体的に参加できるようにすることで、豊かで幅広い活動機会の保障に寄与するものであること</w:t>
      </w:r>
    </w:p>
    <w:p>
      <w:pPr>
        <w:pStyle w:val="0"/>
        <w:numPr>
          <w:ilvl w:val="0"/>
          <w:numId w:val="1"/>
        </w:numPr>
        <w:snapToGrid w:val="0"/>
        <w:spacing w:line="240" w:lineRule="atLeast"/>
        <w:ind w:left="709" w:hanging="442"/>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生徒</w:t>
      </w:r>
      <w:r>
        <w:rPr>
          <w:rFonts w:hint="eastAsia" w:asciiTheme="minorEastAsia" w:hAnsiTheme="minorEastAsia" w:eastAsiaTheme="minorEastAsia"/>
          <w:color w:val="auto"/>
          <w:sz w:val="21"/>
          <w:vertAlign w:val="superscript"/>
        </w:rPr>
        <w:t>※１</w:t>
      </w:r>
      <w:r>
        <w:rPr>
          <w:rFonts w:hint="eastAsia" w:asciiTheme="minorEastAsia" w:hAnsiTheme="minorEastAsia" w:eastAsiaTheme="minorEastAsia"/>
          <w:color w:val="auto"/>
          <w:sz w:val="21"/>
        </w:rPr>
        <w:t>の自主的・主体的な参加による活動</w:t>
      </w:r>
      <w:r>
        <w:rPr>
          <w:rFonts w:hint="eastAsia" w:asciiTheme="minorEastAsia" w:hAnsiTheme="minorEastAsia" w:eastAsiaTheme="minorEastAsia"/>
          <w:color w:val="auto"/>
          <w:sz w:val="21"/>
          <w:vertAlign w:val="superscript"/>
        </w:rPr>
        <w:t>※２</w:t>
      </w:r>
      <w:r>
        <w:rPr>
          <w:rFonts w:hint="eastAsia" w:asciiTheme="minorEastAsia" w:hAnsiTheme="minorEastAsia" w:eastAsiaTheme="minorEastAsia"/>
          <w:color w:val="auto"/>
          <w:sz w:val="21"/>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w:t>
      </w:r>
      <w:r>
        <w:rPr>
          <w:rFonts w:hint="eastAsia" w:asciiTheme="minorEastAsia" w:hAnsiTheme="minorEastAsia" w:eastAsiaTheme="minorEastAsia"/>
          <w:color w:val="auto"/>
          <w:sz w:val="21"/>
          <w:vertAlign w:val="superscript"/>
        </w:rPr>
        <w:t>※３</w:t>
      </w:r>
      <w:r>
        <w:rPr>
          <w:rFonts w:hint="eastAsia" w:asciiTheme="minorEastAsia" w:hAnsiTheme="minorEastAsia" w:eastAsiaTheme="minorEastAsia"/>
          <w:color w:val="auto"/>
          <w:sz w:val="21"/>
        </w:rPr>
        <w:t>であること</w:t>
      </w:r>
    </w:p>
    <w:p>
      <w:pPr>
        <w:pStyle w:val="32"/>
        <w:numPr>
          <w:ilvl w:val="0"/>
          <w:numId w:val="1"/>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市内に居住する生徒を主な対象とした活動であること。また、競技力強化等の観点から広域から生徒を集めるものではないこと</w:t>
      </w:r>
    </w:p>
    <w:p>
      <w:pPr>
        <w:pStyle w:val="32"/>
        <w:numPr>
          <w:ilvl w:val="0"/>
          <w:numId w:val="1"/>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選抜等を行わず、参加を希望する生徒を広く受け入れること</w:t>
      </w:r>
      <w:r>
        <w:rPr>
          <w:rFonts w:hint="eastAsia" w:asciiTheme="minorEastAsia" w:hAnsiTheme="minorEastAsia" w:eastAsiaTheme="minorEastAsia"/>
          <w:color w:val="auto"/>
          <w:sz w:val="21"/>
          <w:vertAlign w:val="superscript"/>
        </w:rPr>
        <w:t>※４</w:t>
      </w:r>
    </w:p>
    <w:p>
      <w:pPr>
        <w:pStyle w:val="0"/>
        <w:snapToGrid w:val="0"/>
        <w:spacing w:line="300" w:lineRule="exact"/>
        <w:ind w:left="420" w:leftChars="100" w:hanging="210" w:hangingChars="100"/>
        <w:jc w:val="left"/>
        <w:rPr>
          <w:rFonts w:hint="default" w:asciiTheme="minorEastAsia" w:hAnsiTheme="minorEastAsia" w:eastAsiaTheme="minorEastAsia"/>
          <w:color w:val="auto"/>
          <w:sz w:val="21"/>
        </w:rPr>
      </w:pPr>
    </w:p>
    <w:p>
      <w:pPr>
        <w:pStyle w:val="0"/>
        <w:snapToGrid w:val="0"/>
        <w:spacing w:line="300" w:lineRule="exact"/>
        <w:ind w:left="420" w:leftChars="100" w:hanging="210" w:hangingChars="10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※１　中学校等の生徒を主な対象とするが、小学生や高校生、大人等と一緒に活動する多世代の取組を排除するものではない。以下同じ。</w:t>
      </w:r>
    </w:p>
    <w:p>
      <w:pPr>
        <w:pStyle w:val="0"/>
        <w:snapToGrid w:val="0"/>
        <w:spacing w:line="300" w:lineRule="exact"/>
        <w:ind w:left="420" w:leftChars="100" w:hanging="210" w:hangingChars="10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pPr>
        <w:pStyle w:val="0"/>
        <w:snapToGrid w:val="0"/>
        <w:spacing w:line="300" w:lineRule="exact"/>
        <w:ind w:left="42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18"/>
        </w:rPr>
        <w:t>※３　スポーツを楽しむことや自主性・協調性・責任感の育成、努力により達成感・充実感を得られること、人間関係の形成など、社会性や人間性を育てることを目指した活動であること。</w:t>
      </w:r>
    </w:p>
    <w:p>
      <w:pPr>
        <w:pStyle w:val="0"/>
        <w:snapToGrid w:val="0"/>
        <w:spacing w:line="300" w:lineRule="exact"/>
        <w:ind w:left="42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18"/>
        </w:rPr>
        <w:t>※４　部活動の地域展開は、障がいのある生徒や運動が苦手な生徒等を含め、全ての生徒が希望に応じて多種多様な活動に参加できる環境を整備することを理念としており、そのことを十分に踏まえて対応すること。</w:t>
      </w:r>
    </w:p>
    <w:p>
      <w:pPr>
        <w:pStyle w:val="0"/>
        <w:snapToGrid w:val="0"/>
        <w:ind w:left="709"/>
        <w:jc w:val="left"/>
        <w:rPr>
          <w:rFonts w:hint="default" w:asciiTheme="minorEastAsia" w:hAnsiTheme="minorEastAsia" w:eastAsiaTheme="minorEastAsia"/>
          <w:color w:val="auto"/>
          <w:sz w:val="21"/>
        </w:rPr>
      </w:pPr>
    </w:p>
    <w:p>
      <w:pPr>
        <w:pStyle w:val="0"/>
        <w:snapToGrid w:val="0"/>
        <w:ind w:left="241" w:hanging="241" w:hangingChars="100"/>
        <w:jc w:val="left"/>
        <w:rPr>
          <w:rFonts w:hint="default" w:asciiTheme="minorEastAsia" w:hAnsiTheme="minorEastAsia" w:eastAsiaTheme="minorEastAsia"/>
          <w:b w:val="1"/>
          <w:color w:val="auto"/>
          <w:sz w:val="21"/>
        </w:rPr>
      </w:pPr>
      <w:r>
        <w:rPr>
          <w:rFonts w:hint="eastAsia" w:asciiTheme="minorEastAsia" w:hAnsiTheme="minorEastAsia" w:eastAsiaTheme="minorEastAsia"/>
          <w:b w:val="1"/>
          <w:color w:val="auto"/>
          <w:sz w:val="21"/>
        </w:rPr>
        <w:t>②</w:t>
      </w:r>
      <w:r>
        <w:rPr>
          <w:rFonts w:hint="default" w:asciiTheme="minorEastAsia" w:hAnsiTheme="minorEastAsia" w:eastAsiaTheme="minorEastAsia"/>
          <w:b w:val="1"/>
          <w:color w:val="auto"/>
          <w:sz w:val="21"/>
        </w:rPr>
        <w:t xml:space="preserve"> </w:t>
      </w:r>
      <w:r>
        <w:rPr>
          <w:rFonts w:hint="default" w:asciiTheme="minorEastAsia" w:hAnsiTheme="minorEastAsia" w:eastAsiaTheme="minorEastAsia"/>
          <w:b w:val="1"/>
          <w:color w:val="auto"/>
          <w:sz w:val="21"/>
        </w:rPr>
        <w:t>適切な活動時間や休養日が設定されていること</w:t>
      </w:r>
    </w:p>
    <w:p>
      <w:pPr>
        <w:pStyle w:val="32"/>
        <w:numPr>
          <w:ilvl w:val="0"/>
          <w:numId w:val="2"/>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生徒の心身の成長に配慮して健康に生活を送れるよう、週２日以上の休養日を設定し、活動時間は、平日は１日２時間程度以内、休日は１日３時間程度以内とし、週当たりの活動時間は</w:t>
      </w:r>
      <w:r>
        <w:rPr>
          <w:rFonts w:hint="default" w:asciiTheme="minorEastAsia" w:hAnsiTheme="minorEastAsia" w:eastAsiaTheme="minorEastAsia"/>
          <w:color w:val="auto"/>
          <w:sz w:val="21"/>
        </w:rPr>
        <w:t>11</w:t>
      </w:r>
      <w:r>
        <w:rPr>
          <w:rFonts w:hint="default" w:asciiTheme="minorEastAsia" w:hAnsiTheme="minorEastAsia" w:eastAsiaTheme="minorEastAsia"/>
          <w:color w:val="auto"/>
          <w:sz w:val="21"/>
        </w:rPr>
        <w:t>時間程度の範囲内とすること。その上で、できるだけ短時間で合理的かつ効率的・効果的な活動と</w:t>
      </w:r>
      <w:r>
        <w:rPr>
          <w:rFonts w:hint="eastAsia" w:asciiTheme="minorEastAsia" w:hAnsiTheme="minorEastAsia" w:eastAsiaTheme="minorEastAsia"/>
          <w:color w:val="auto"/>
          <w:sz w:val="21"/>
        </w:rPr>
        <w:t>す</w:t>
      </w:r>
      <w:r>
        <w:rPr>
          <w:rFonts w:hint="default" w:asciiTheme="minorEastAsia" w:hAnsiTheme="minorEastAsia" w:eastAsiaTheme="minorEastAsia"/>
          <w:color w:val="auto"/>
          <w:sz w:val="21"/>
        </w:rPr>
        <w:t>ること</w:t>
      </w:r>
      <w:r>
        <w:rPr>
          <w:rFonts w:hint="eastAsia" w:asciiTheme="minorEastAsia" w:hAnsiTheme="minorEastAsia" w:eastAsiaTheme="minorEastAsia"/>
          <w:color w:val="auto"/>
          <w:sz w:val="21"/>
          <w:vertAlign w:val="superscript"/>
        </w:rPr>
        <w:t>※１</w:t>
      </w:r>
    </w:p>
    <w:p>
      <w:pPr>
        <w:pStyle w:val="32"/>
        <w:numPr>
          <w:ilvl w:val="0"/>
          <w:numId w:val="2"/>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年間の活動計画（活動日、休養日及び参加予定大会の日程等）や毎月の活動計画（活動日時・場所、休養日及び大会参加日等）を策定し、公表すること</w:t>
      </w:r>
      <w:r>
        <w:rPr>
          <w:rFonts w:hint="eastAsia" w:asciiTheme="minorEastAsia" w:hAnsiTheme="minorEastAsia" w:eastAsiaTheme="minorEastAsia"/>
          <w:color w:val="auto"/>
          <w:sz w:val="21"/>
          <w:vertAlign w:val="superscript"/>
        </w:rPr>
        <w:t>※２</w:t>
      </w:r>
    </w:p>
    <w:p>
      <w:pPr>
        <w:pStyle w:val="0"/>
        <w:snapToGrid w:val="0"/>
        <w:spacing w:line="280" w:lineRule="exact"/>
        <w:ind w:left="420" w:leftChars="100" w:hanging="210" w:hangingChars="100"/>
        <w:jc w:val="left"/>
        <w:rPr>
          <w:rFonts w:hint="default" w:asciiTheme="minorEastAsia" w:hAnsiTheme="minorEastAsia" w:eastAsiaTheme="minorEastAsia"/>
          <w:color w:val="auto"/>
          <w:sz w:val="21"/>
        </w:rPr>
      </w:pPr>
    </w:p>
    <w:p>
      <w:pPr>
        <w:pStyle w:val="0"/>
        <w:snapToGrid w:val="0"/>
        <w:spacing w:line="280" w:lineRule="exact"/>
        <w:ind w:left="420" w:leftChars="100" w:hanging="210" w:hangingChars="10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※１　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Pr>
          <w:rFonts w:hint="default" w:asciiTheme="minorEastAsia" w:hAnsiTheme="minorEastAsia" w:eastAsiaTheme="minorEastAsia"/>
          <w:color w:val="auto"/>
          <w:sz w:val="18"/>
        </w:rPr>
        <w:t xml:space="preserve"> 11 </w:t>
      </w:r>
      <w:r>
        <w:rPr>
          <w:rFonts w:hint="default" w:asciiTheme="minorEastAsia" w:hAnsiTheme="minorEastAsia" w:eastAsiaTheme="minorEastAsia"/>
          <w:color w:val="auto"/>
          <w:sz w:val="18"/>
        </w:rPr>
        <w:t>時間程度の範囲内に収まり、かつ、週２日以上の休養日が設けられるのであれば、平日の活動を週３日以内に抑えつつ休日に２日間連続して活動を行うなど、柔軟な対応を行うことも可能。</w:t>
      </w:r>
    </w:p>
    <w:p>
      <w:pPr>
        <w:pStyle w:val="0"/>
        <w:snapToGrid w:val="0"/>
        <w:spacing w:line="280" w:lineRule="exact"/>
        <w:ind w:left="420" w:leftChars="100" w:hanging="210" w:hangingChars="10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※２　各団体においてＨＰ等で公表する以外にも、保護者に活動計画を連絡するなどにより公表することも考えられる。</w:t>
      </w:r>
    </w:p>
    <w:p>
      <w:pPr>
        <w:pStyle w:val="0"/>
        <w:snapToGrid w:val="0"/>
        <w:ind w:left="709"/>
        <w:jc w:val="left"/>
        <w:rPr>
          <w:rFonts w:hint="default" w:asciiTheme="minorEastAsia" w:hAnsiTheme="minorEastAsia" w:eastAsiaTheme="minorEastAsia"/>
          <w:color w:val="auto"/>
          <w:sz w:val="21"/>
        </w:rPr>
      </w:pPr>
    </w:p>
    <w:p>
      <w:pPr>
        <w:pStyle w:val="0"/>
        <w:snapToGrid w:val="0"/>
        <w:jc w:val="left"/>
        <w:rPr>
          <w:rFonts w:hint="default" w:asciiTheme="minorEastAsia" w:hAnsiTheme="minorEastAsia" w:eastAsiaTheme="minorEastAsia"/>
          <w:b w:val="1"/>
          <w:color w:val="auto"/>
          <w:sz w:val="21"/>
        </w:rPr>
      </w:pPr>
      <w:r>
        <w:rPr>
          <w:rFonts w:hint="eastAsia" w:asciiTheme="minorEastAsia" w:hAnsiTheme="minorEastAsia" w:eastAsiaTheme="minorEastAsia"/>
          <w:b w:val="1"/>
          <w:color w:val="auto"/>
          <w:sz w:val="21"/>
        </w:rPr>
        <w:t>③</w:t>
      </w:r>
      <w:r>
        <w:rPr>
          <w:rFonts w:hint="default" w:asciiTheme="minorEastAsia" w:hAnsiTheme="minorEastAsia" w:eastAsiaTheme="minorEastAsia"/>
          <w:b w:val="1"/>
          <w:color w:val="auto"/>
          <w:sz w:val="21"/>
        </w:rPr>
        <w:t xml:space="preserve"> </w:t>
      </w:r>
      <w:r>
        <w:rPr>
          <w:rFonts w:hint="eastAsia" w:asciiTheme="minorEastAsia" w:hAnsiTheme="minorEastAsia" w:eastAsiaTheme="minorEastAsia"/>
          <w:b w:val="1"/>
          <w:color w:val="auto"/>
          <w:kern w:val="0"/>
          <w:sz w:val="21"/>
        </w:rPr>
        <w:t>活動の維持・運営に必要な範囲で、可能な限り低廉な参加費等が設定されていること</w:t>
      </w:r>
    </w:p>
    <w:p>
      <w:pPr>
        <w:pStyle w:val="32"/>
        <w:numPr>
          <w:ilvl w:val="0"/>
          <w:numId w:val="3"/>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国が示す参加費等の金額の目安を踏まえつつ、地域の実情や競技種目等の特性等に応じて、地域クラブ活動を持続的・安定的に運営していくために必要な範囲で、可能な限り低廉な参加費等を設定すること</w:t>
      </w:r>
    </w:p>
    <w:p>
      <w:pPr>
        <w:pStyle w:val="0"/>
        <w:snapToGrid w:val="0"/>
        <w:ind w:firstLine="210" w:firstLineChars="100"/>
        <w:jc w:val="left"/>
        <w:rPr>
          <w:rFonts w:hint="default" w:asciiTheme="minorEastAsia" w:hAnsiTheme="minorEastAsia" w:eastAsiaTheme="minorEastAsia"/>
          <w:b w:val="1"/>
          <w:color w:val="auto"/>
          <w:sz w:val="21"/>
        </w:rPr>
      </w:pPr>
    </w:p>
    <w:p>
      <w:pPr>
        <w:pStyle w:val="0"/>
        <w:snapToGrid w:val="0"/>
        <w:ind w:left="390" w:leftChars="100" w:hanging="180" w:hangingChars="100"/>
        <w:jc w:val="left"/>
        <w:rPr>
          <w:rFonts w:hint="default" w:asciiTheme="minorEastAsia" w:hAnsiTheme="minorEastAsia" w:eastAsiaTheme="minorEastAsia"/>
          <w:b w:val="1"/>
          <w:color w:val="auto"/>
          <w:sz w:val="21"/>
        </w:rPr>
      </w:pPr>
      <w:r>
        <w:rPr>
          <w:rFonts w:hint="eastAsia" w:asciiTheme="minorEastAsia" w:hAnsiTheme="minorEastAsia" w:eastAsiaTheme="minorEastAsia"/>
          <w:color w:val="auto"/>
          <w:sz w:val="18"/>
        </w:rPr>
        <w:t>※１　休日に週１日・月４回程度の活動を実施する場合、月額</w:t>
      </w:r>
      <w:r>
        <w:rPr>
          <w:rFonts w:hint="eastAsia" w:asciiTheme="minorEastAsia" w:hAnsiTheme="minorEastAsia" w:eastAsiaTheme="minorEastAsia"/>
          <w:color w:val="auto"/>
          <w:sz w:val="18"/>
        </w:rPr>
        <w:t>1,000</w:t>
      </w:r>
      <w:r>
        <w:rPr>
          <w:rFonts w:hint="eastAsia" w:asciiTheme="minorEastAsia" w:hAnsiTheme="minorEastAsia" w:eastAsiaTheme="minorEastAsia"/>
          <w:color w:val="auto"/>
          <w:sz w:val="18"/>
        </w:rPr>
        <w:t>円～</w:t>
      </w:r>
      <w:r>
        <w:rPr>
          <w:rFonts w:hint="eastAsia" w:asciiTheme="minorEastAsia" w:hAnsiTheme="minorEastAsia" w:eastAsiaTheme="minorEastAsia"/>
          <w:color w:val="auto"/>
          <w:sz w:val="18"/>
        </w:rPr>
        <w:t>3,000</w:t>
      </w:r>
      <w:r>
        <w:rPr>
          <w:rFonts w:hint="eastAsia" w:asciiTheme="minorEastAsia" w:hAnsiTheme="minorEastAsia" w:eastAsiaTheme="minorEastAsia"/>
          <w:color w:val="auto"/>
          <w:sz w:val="18"/>
        </w:rPr>
        <w:t>円程度を参加費のイメージとする。ただし、地域の実情や実施回数、実施体制、競技種目等の特性などの実態を踏まえ、例えば、月額数百円程度や月額</w:t>
      </w:r>
      <w:r>
        <w:rPr>
          <w:rFonts w:hint="eastAsia" w:asciiTheme="minorEastAsia" w:hAnsiTheme="minorEastAsia" w:eastAsiaTheme="minorEastAsia"/>
          <w:color w:val="auto"/>
          <w:sz w:val="18"/>
        </w:rPr>
        <w:t>4,000</w:t>
      </w:r>
      <w:r>
        <w:rPr>
          <w:rFonts w:hint="eastAsia" w:asciiTheme="minorEastAsia" w:hAnsiTheme="minorEastAsia" w:eastAsiaTheme="minorEastAsia"/>
          <w:color w:val="auto"/>
          <w:sz w:val="18"/>
        </w:rPr>
        <w:t>円程度とすることなども含め、多様な設定があり得る。</w:t>
      </w:r>
    </w:p>
    <w:p>
      <w:pPr>
        <w:pStyle w:val="0"/>
        <w:snapToGrid w:val="0"/>
        <w:jc w:val="left"/>
        <w:rPr>
          <w:rFonts w:hint="default" w:asciiTheme="minorEastAsia" w:hAnsiTheme="minorEastAsia" w:eastAsiaTheme="minorEastAsia"/>
          <w:b w:val="1"/>
          <w:color w:val="auto"/>
          <w:sz w:val="21"/>
        </w:rPr>
      </w:pPr>
    </w:p>
    <w:p>
      <w:pPr>
        <w:pStyle w:val="0"/>
        <w:snapToGrid w:val="0"/>
        <w:jc w:val="left"/>
        <w:rPr>
          <w:rFonts w:hint="default" w:asciiTheme="minorEastAsia" w:hAnsiTheme="minorEastAsia" w:eastAsiaTheme="minorEastAsia"/>
          <w:b w:val="1"/>
          <w:color w:val="auto"/>
          <w:sz w:val="21"/>
        </w:rPr>
      </w:pPr>
      <w:r>
        <w:rPr>
          <w:rFonts w:hint="eastAsia" w:asciiTheme="minorEastAsia" w:hAnsiTheme="minorEastAsia" w:eastAsiaTheme="minorEastAsia"/>
          <w:b w:val="1"/>
          <w:color w:val="auto"/>
          <w:sz w:val="21"/>
        </w:rPr>
        <w:t>④</w:t>
      </w:r>
      <w:r>
        <w:rPr>
          <w:rFonts w:hint="default" w:asciiTheme="minorEastAsia" w:hAnsiTheme="minorEastAsia" w:eastAsiaTheme="minorEastAsia"/>
          <w:b w:val="1"/>
          <w:color w:val="auto"/>
          <w:sz w:val="21"/>
        </w:rPr>
        <w:t xml:space="preserve"> </w:t>
      </w:r>
      <w:r>
        <w:rPr>
          <w:rFonts w:hint="default" w:asciiTheme="minorEastAsia" w:hAnsiTheme="minorEastAsia" w:eastAsiaTheme="minorEastAsia"/>
          <w:b w:val="1"/>
          <w:color w:val="auto"/>
          <w:sz w:val="21"/>
        </w:rPr>
        <w:t>適切な指導の実施体制が確保されていること</w:t>
      </w:r>
    </w:p>
    <w:p>
      <w:pPr>
        <w:pStyle w:val="32"/>
        <w:numPr>
          <w:ilvl w:val="0"/>
          <w:numId w:val="3"/>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地域クラブ活動において指導や指導補助、見守り等を行う人材（以下「指導人材」という。）が、暴力・暴言・ハラスメント、いじめ、無視等の行為は、許されない行為であることを理解し、自らこうした行為を行わないとともに、参加生徒同士のこうした行為も許さないことを誓約すること</w:t>
      </w:r>
    </w:p>
    <w:p>
      <w:pPr>
        <w:pStyle w:val="32"/>
        <w:numPr>
          <w:ilvl w:val="0"/>
          <w:numId w:val="3"/>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市が定める研修を受講し、市に登録された指導人材が活動に携わること</w:t>
      </w:r>
    </w:p>
    <w:p>
      <w:pPr>
        <w:pStyle w:val="32"/>
        <w:numPr>
          <w:ilvl w:val="0"/>
          <w:numId w:val="3"/>
        </w:numPr>
        <w:snapToGrid w:val="0"/>
        <w:ind w:left="709"/>
        <w:contextualSpacing w:val="0"/>
        <w:jc w:val="left"/>
        <w:rPr>
          <w:rFonts w:hint="eastAsia" w:ascii="ＭＳ 明朝" w:hAnsi="ＭＳ 明朝" w:eastAsia="ＭＳ 明朝"/>
          <w:color w:val="auto"/>
          <w:sz w:val="21"/>
        </w:rPr>
      </w:pPr>
      <w:r>
        <w:rPr>
          <w:rFonts w:hint="eastAsia" w:ascii="ＭＳ 明朝" w:hAnsi="ＭＳ 明朝" w:eastAsia="ＭＳ 明朝"/>
          <w:color w:val="auto"/>
          <w:sz w:val="21"/>
        </w:rPr>
        <w:t>持続的・安定的な活動を確保するとともに、事故や暴力・暴言・ハラスメント等の不適切行為を防止する観点から、原則として、複数の指導人材が携わること</w:t>
      </w:r>
      <w:r>
        <w:rPr>
          <w:rFonts w:hint="eastAsia" w:ascii="ＭＳ 明朝" w:hAnsi="ＭＳ 明朝" w:eastAsia="ＭＳ 明朝"/>
          <w:color w:val="auto"/>
          <w:sz w:val="21"/>
          <w:vertAlign w:val="superscript"/>
        </w:rPr>
        <w:t>※１</w:t>
      </w:r>
    </w:p>
    <w:p>
      <w:pPr>
        <w:pStyle w:val="32"/>
        <w:numPr>
          <w:ilvl w:val="0"/>
          <w:numId w:val="4"/>
        </w:numPr>
        <w:snapToGrid w:val="0"/>
        <w:ind w:left="709"/>
        <w:contextualSpacing w:val="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中核となる指導者が、公益財団法人日本スポーツ協会が公認するスポーツ指導者資格、またはこれに準ずる専門資格を有すること</w:t>
      </w:r>
    </w:p>
    <w:p>
      <w:pPr>
        <w:pStyle w:val="0"/>
        <w:snapToGrid w:val="0"/>
        <w:spacing w:line="260" w:lineRule="exact"/>
        <w:ind w:leftChars="0" w:firstLineChars="0"/>
        <w:jc w:val="left"/>
        <w:rPr>
          <w:rFonts w:hint="default" w:asciiTheme="minorEastAsia" w:hAnsiTheme="minorEastAsia" w:eastAsiaTheme="minorEastAsia"/>
          <w:color w:val="auto"/>
          <w:sz w:val="18"/>
        </w:rPr>
      </w:pPr>
    </w:p>
    <w:p>
      <w:pPr>
        <w:pStyle w:val="0"/>
        <w:snapToGrid w:val="0"/>
        <w:spacing w:line="260" w:lineRule="exact"/>
        <w:ind w:left="420" w:leftChars="100" w:hanging="210" w:hangingChars="10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※１　複数の指導人材が活動に携わることが困難な場合には、市等の職員・コーディネーターや運営団体の職員等による地域クラブ活動の実施主体への巡回指導を適切に実施すること等により、事故防止や暴力・暴言・ハラスメント等の不適切行為の防止を図ること。</w:t>
      </w:r>
    </w:p>
    <w:p>
      <w:pPr>
        <w:pStyle w:val="0"/>
        <w:snapToGrid w:val="0"/>
        <w:ind w:left="709"/>
        <w:jc w:val="left"/>
        <w:rPr>
          <w:rFonts w:hint="default" w:asciiTheme="minorEastAsia" w:hAnsiTheme="minorEastAsia" w:eastAsiaTheme="minorEastAsia"/>
          <w:color w:val="auto"/>
          <w:sz w:val="21"/>
        </w:rPr>
      </w:pPr>
    </w:p>
    <w:p>
      <w:pPr>
        <w:pStyle w:val="0"/>
        <w:snapToGrid w:val="0"/>
        <w:jc w:val="left"/>
        <w:rPr>
          <w:rFonts w:hint="default" w:asciiTheme="minorEastAsia" w:hAnsiTheme="minorEastAsia" w:eastAsiaTheme="minorEastAsia"/>
          <w:b w:val="1"/>
          <w:color w:val="auto"/>
          <w:sz w:val="21"/>
        </w:rPr>
      </w:pPr>
      <w:r>
        <w:rPr>
          <w:rFonts w:hint="eastAsia" w:asciiTheme="minorEastAsia" w:hAnsiTheme="minorEastAsia" w:eastAsiaTheme="minorEastAsia"/>
          <w:b w:val="1"/>
          <w:color w:val="auto"/>
          <w:sz w:val="21"/>
        </w:rPr>
        <w:t>⑤</w:t>
      </w:r>
      <w:r>
        <w:rPr>
          <w:rFonts w:hint="default" w:asciiTheme="minorEastAsia" w:hAnsiTheme="minorEastAsia" w:eastAsiaTheme="minorEastAsia"/>
          <w:b w:val="1"/>
          <w:color w:val="auto"/>
          <w:sz w:val="21"/>
        </w:rPr>
        <w:t xml:space="preserve"> </w:t>
      </w:r>
      <w:r>
        <w:rPr>
          <w:rFonts w:hint="default" w:asciiTheme="minorEastAsia" w:hAnsiTheme="minorEastAsia" w:eastAsiaTheme="minorEastAsia"/>
          <w:b w:val="1"/>
          <w:color w:val="auto"/>
          <w:sz w:val="21"/>
        </w:rPr>
        <w:t>適切な安全確保の体制が確保されていること</w:t>
      </w:r>
    </w:p>
    <w:p>
      <w:pPr>
        <w:pStyle w:val="32"/>
        <w:numPr>
          <w:ilvl w:val="0"/>
          <w:numId w:val="5"/>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生徒の発達段階や健康の状態、気温や湿度、暑さ指数（</w:t>
      </w:r>
      <w:r>
        <w:rPr>
          <w:rFonts w:hint="default" w:asciiTheme="minorEastAsia" w:hAnsiTheme="minorEastAsia" w:eastAsiaTheme="minorEastAsia"/>
          <w:color w:val="auto"/>
          <w:sz w:val="21"/>
        </w:rPr>
        <w:t>WBGT</w:t>
      </w:r>
      <w:r>
        <w:rPr>
          <w:rFonts w:hint="default" w:asciiTheme="minorEastAsia" w:hAnsiTheme="minorEastAsia" w:eastAsiaTheme="minorEastAsia"/>
          <w:color w:val="auto"/>
          <w:sz w:val="21"/>
        </w:rPr>
        <w:t>）等の環境を考慮のうえ、適切な指導内容や活動時間、休息時間、水分補給の機会等を設定するとともに、活動場所の管理主体と連携した施設・設備・用具の点検等を行い、事故防止を徹底すること</w:t>
      </w:r>
    </w:p>
    <w:p>
      <w:pPr>
        <w:pStyle w:val="32"/>
        <w:numPr>
          <w:ilvl w:val="0"/>
          <w:numId w:val="5"/>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地域クラブ活動の運営団体及び実施主体並びに指導者との間で、あらかじめ、事故等が発生した場合の対応や責任関係等を明確化すること</w:t>
      </w:r>
    </w:p>
    <w:p>
      <w:pPr>
        <w:pStyle w:val="32"/>
        <w:numPr>
          <w:ilvl w:val="0"/>
          <w:numId w:val="5"/>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保護者や関係機関への緊急時の連絡体制の整備等を行い、事故発生時の対応を適切に行うこと</w:t>
      </w:r>
    </w:p>
    <w:p>
      <w:pPr>
        <w:pStyle w:val="32"/>
        <w:numPr>
          <w:ilvl w:val="0"/>
          <w:numId w:val="5"/>
        </w:numPr>
        <w:snapToGrid w:val="0"/>
        <w:ind w:left="709"/>
        <w:contextualSpacing w:val="0"/>
        <w:jc w:val="left"/>
        <w:rPr>
          <w:rFonts w:hint="default" w:asciiTheme="minorEastAsia" w:hAnsiTheme="minorEastAsia" w:eastAsiaTheme="minorEastAsia"/>
          <w:b w:val="1"/>
          <w:color w:val="auto"/>
          <w:sz w:val="21"/>
          <w:highlight w:val="none"/>
        </w:rPr>
      </w:pPr>
      <w:r>
        <w:rPr>
          <w:rFonts w:hint="eastAsia" w:asciiTheme="minorEastAsia" w:hAnsiTheme="minorEastAsia" w:eastAsiaTheme="minorEastAsia"/>
          <w:color w:val="auto"/>
          <w:sz w:val="21"/>
        </w:rPr>
        <w:t>参加者及び指導人</w:t>
      </w:r>
      <w:r>
        <w:rPr>
          <w:rFonts w:hint="eastAsia" w:asciiTheme="minorEastAsia" w:hAnsiTheme="minorEastAsia" w:eastAsiaTheme="minorEastAsia"/>
          <w:color w:val="auto"/>
          <w:sz w:val="21"/>
          <w:highlight w:val="none"/>
        </w:rPr>
        <w:t>材が、自身の怪我等を補償する保険や個人賠償責任保険に加入すること</w:t>
      </w:r>
    </w:p>
    <w:p>
      <w:pPr>
        <w:pStyle w:val="0"/>
        <w:numPr>
          <w:ilvl w:val="0"/>
          <w:numId w:val="5"/>
        </w:numPr>
        <w:snapToGrid w:val="0"/>
        <w:ind w:left="709"/>
        <w:contextualSpacing w:val="0"/>
        <w:jc w:val="left"/>
        <w:rPr>
          <w:rFonts w:hint="default" w:asciiTheme="minorEastAsia" w:hAnsiTheme="minorEastAsia" w:eastAsiaTheme="minorEastAsia"/>
          <w:b w:val="1"/>
          <w:color w:val="auto"/>
          <w:sz w:val="21"/>
          <w:highlight w:val="none"/>
        </w:rPr>
      </w:pPr>
      <w:r>
        <w:rPr>
          <w:rFonts w:hint="eastAsia" w:asciiTheme="minorEastAsia" w:hAnsiTheme="minorEastAsia" w:eastAsiaTheme="minorEastAsia"/>
          <w:color w:val="auto"/>
          <w:sz w:val="21"/>
          <w:highlight w:val="none"/>
        </w:rPr>
        <w:t>地域クラブ活動は、安全管理を徹底して活動を行うものとし、その活動に伴い発生した事故等のうち、団体の過失または管理上の不備に起因するものについて、団体の責任において対応すること</w:t>
      </w:r>
    </w:p>
    <w:p>
      <w:pPr>
        <w:pStyle w:val="0"/>
        <w:snapToGrid w:val="0"/>
        <w:ind w:left="0" w:leftChars="0" w:firstLineChars="0"/>
        <w:jc w:val="left"/>
        <w:rPr>
          <w:rFonts w:hint="default" w:asciiTheme="minorEastAsia" w:hAnsiTheme="minorEastAsia" w:eastAsiaTheme="minorEastAsia"/>
          <w:b w:val="1"/>
          <w:color w:val="auto"/>
          <w:sz w:val="21"/>
          <w:highlight w:val="yellow"/>
        </w:rPr>
      </w:pPr>
    </w:p>
    <w:p>
      <w:pPr>
        <w:pStyle w:val="0"/>
        <w:snapToGrid w:val="0"/>
        <w:jc w:val="left"/>
        <w:rPr>
          <w:rFonts w:hint="default" w:asciiTheme="minorEastAsia" w:hAnsiTheme="minorEastAsia" w:eastAsiaTheme="minorEastAsia"/>
          <w:b w:val="1"/>
          <w:color w:val="auto"/>
          <w:sz w:val="21"/>
        </w:rPr>
      </w:pPr>
      <w:r>
        <w:rPr>
          <w:rFonts w:hint="eastAsia" w:asciiTheme="minorEastAsia" w:hAnsiTheme="minorEastAsia" w:eastAsiaTheme="minorEastAsia"/>
          <w:b w:val="1"/>
          <w:color w:val="auto"/>
          <w:sz w:val="21"/>
        </w:rPr>
        <w:t>⑥</w:t>
      </w:r>
      <w:r>
        <w:rPr>
          <w:rFonts w:hint="default" w:asciiTheme="minorEastAsia" w:hAnsiTheme="minorEastAsia" w:eastAsiaTheme="minorEastAsia"/>
          <w:b w:val="1"/>
          <w:color w:val="auto"/>
          <w:sz w:val="21"/>
        </w:rPr>
        <w:t xml:space="preserve"> </w:t>
      </w:r>
      <w:r>
        <w:rPr>
          <w:rFonts w:hint="default" w:asciiTheme="minorEastAsia" w:hAnsiTheme="minorEastAsia" w:eastAsiaTheme="minorEastAsia"/>
          <w:b w:val="1"/>
          <w:color w:val="auto"/>
          <w:sz w:val="21"/>
        </w:rPr>
        <w:t>適切な運営体制が確保されていること</w:t>
      </w:r>
    </w:p>
    <w:p>
      <w:pPr>
        <w:pStyle w:val="32"/>
        <w:numPr>
          <w:ilvl w:val="0"/>
          <w:numId w:val="6"/>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次の内容を含む規約等</w:t>
      </w:r>
      <w:r>
        <w:rPr>
          <w:rFonts w:hint="eastAsia" w:asciiTheme="minorEastAsia" w:hAnsiTheme="minorEastAsia" w:eastAsiaTheme="minorEastAsia"/>
          <w:color w:val="auto"/>
          <w:sz w:val="21"/>
          <w:vertAlign w:val="superscript"/>
        </w:rPr>
        <w:t>※１</w:t>
      </w:r>
      <w:r>
        <w:rPr>
          <w:rFonts w:hint="eastAsia" w:asciiTheme="minorEastAsia" w:hAnsiTheme="minorEastAsia" w:eastAsiaTheme="minorEastAsia"/>
          <w:color w:val="auto"/>
          <w:sz w:val="21"/>
        </w:rPr>
        <w:t>を作成・公表すること。また、関係法令を遵守するとともに、規約等に基づき適切な運営を行うこと</w:t>
      </w:r>
      <w:r>
        <w:rPr>
          <w:rFonts w:hint="eastAsia" w:asciiTheme="minorEastAsia" w:hAnsiTheme="minorEastAsia" w:eastAsiaTheme="minorEastAsia"/>
          <w:color w:val="auto"/>
          <w:sz w:val="21"/>
          <w:vertAlign w:val="superscript"/>
        </w:rPr>
        <w:t>※２</w:t>
      </w:r>
    </w:p>
    <w:p>
      <w:pPr>
        <w:pStyle w:val="32"/>
        <w:numPr>
          <w:ilvl w:val="1"/>
          <w:numId w:val="7"/>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団体の目的</w:t>
      </w:r>
    </w:p>
    <w:p>
      <w:pPr>
        <w:pStyle w:val="32"/>
        <w:numPr>
          <w:ilvl w:val="1"/>
          <w:numId w:val="7"/>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役員（代表、副代表、会計、監事</w:t>
      </w:r>
      <w:r>
        <w:rPr>
          <w:rFonts w:hint="eastAsia" w:asciiTheme="minorEastAsia" w:hAnsiTheme="minorEastAsia" w:eastAsiaTheme="minorEastAsia"/>
          <w:color w:val="auto"/>
          <w:sz w:val="21"/>
          <w:vertAlign w:val="superscript"/>
        </w:rPr>
        <w:t>※３</w:t>
      </w:r>
      <w:r>
        <w:rPr>
          <w:rFonts w:hint="eastAsia" w:asciiTheme="minorEastAsia" w:hAnsiTheme="minorEastAsia" w:eastAsiaTheme="minorEastAsia"/>
          <w:color w:val="auto"/>
          <w:sz w:val="21"/>
        </w:rPr>
        <w:t>）の選任・解任に関すること</w:t>
      </w:r>
    </w:p>
    <w:p>
      <w:pPr>
        <w:pStyle w:val="32"/>
        <w:numPr>
          <w:ilvl w:val="1"/>
          <w:numId w:val="7"/>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総会の運営など団体の意思決定に関すること</w:t>
      </w:r>
    </w:p>
    <w:p>
      <w:pPr>
        <w:pStyle w:val="32"/>
        <w:numPr>
          <w:ilvl w:val="1"/>
          <w:numId w:val="7"/>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会員の入退会、参加費等に関すること</w:t>
      </w:r>
    </w:p>
    <w:p>
      <w:pPr>
        <w:pStyle w:val="32"/>
        <w:numPr>
          <w:ilvl w:val="1"/>
          <w:numId w:val="7"/>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予算・決算の審議・承認に関すること　</w:t>
      </w:r>
    </w:p>
    <w:p>
      <w:pPr>
        <w:pStyle w:val="32"/>
        <w:numPr>
          <w:ilvl w:val="0"/>
          <w:numId w:val="6"/>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公正かつ適切な会計処理が行われ、透明性を確保するために市や保護者等に対する情報開示を</w:t>
      </w:r>
      <w:bookmarkStart w:id="0" w:name="_GoBack"/>
      <w:bookmarkEnd w:id="0"/>
      <w:r>
        <w:rPr>
          <w:rFonts w:hint="eastAsia" w:asciiTheme="minorEastAsia" w:hAnsiTheme="minorEastAsia" w:eastAsiaTheme="minorEastAsia"/>
          <w:color w:val="auto"/>
          <w:sz w:val="21"/>
        </w:rPr>
        <w:t>適切に行うこと</w:t>
      </w:r>
    </w:p>
    <w:p>
      <w:pPr>
        <w:pStyle w:val="32"/>
        <w:numPr>
          <w:ilvl w:val="0"/>
          <w:numId w:val="6"/>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営利を主たる目的とせずに運営すること</w:t>
      </w:r>
      <w:r>
        <w:rPr>
          <w:rFonts w:hint="eastAsia" w:asciiTheme="minorEastAsia" w:hAnsiTheme="minorEastAsia" w:eastAsiaTheme="minorEastAsia"/>
          <w:color w:val="auto"/>
          <w:sz w:val="21"/>
          <w:vertAlign w:val="superscript"/>
        </w:rPr>
        <w:t>※４</w:t>
      </w:r>
    </w:p>
    <w:p>
      <w:pPr>
        <w:pStyle w:val="32"/>
        <w:numPr>
          <w:ilvl w:val="0"/>
          <w:numId w:val="6"/>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大会・コンクールに参加する場合には、その運営に積極的に協力すること</w:t>
      </w:r>
    </w:p>
    <w:p>
      <w:pPr>
        <w:pStyle w:val="32"/>
        <w:numPr>
          <w:ilvl w:val="0"/>
          <w:numId w:val="6"/>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highlight w:val="none"/>
        </w:rPr>
        <w:t>地域クラブ活動の運営団体が一般財団法人Ｎスポーツコミッションなよろの会員であること</w:t>
      </w:r>
    </w:p>
    <w:p>
      <w:pPr>
        <w:pStyle w:val="0"/>
        <w:snapToGrid w:val="0"/>
        <w:spacing w:line="300" w:lineRule="exact"/>
        <w:ind w:left="420" w:leftChars="100" w:hanging="210" w:hangingChars="100"/>
        <w:jc w:val="left"/>
        <w:rPr>
          <w:rFonts w:hint="default" w:asciiTheme="minorEastAsia" w:hAnsiTheme="minorEastAsia" w:eastAsiaTheme="minorEastAsia"/>
          <w:color w:val="auto"/>
          <w:sz w:val="21"/>
        </w:rPr>
      </w:pPr>
    </w:p>
    <w:p>
      <w:pPr>
        <w:pStyle w:val="0"/>
        <w:snapToGrid w:val="0"/>
        <w:spacing w:line="300" w:lineRule="exact"/>
        <w:ind w:left="420" w:leftChars="100" w:hanging="210" w:hangingChars="10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※１　運営団体・実施主体を全体として評価し、実質的に適切な運営体制が確保されていれば差し支えない。</w:t>
      </w:r>
    </w:p>
    <w:p>
      <w:pPr>
        <w:pStyle w:val="0"/>
        <w:snapToGrid w:val="0"/>
        <w:spacing w:line="300" w:lineRule="exact"/>
        <w:ind w:left="420" w:leftChars="100" w:hanging="210" w:hangingChars="10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※２　日本スポーツ協会の総合型地域スポーツクラブ登録制度の登録クラブの場合には、確認事項の一部を満たしていると判断する。</w:t>
      </w:r>
    </w:p>
    <w:p>
      <w:pPr>
        <w:pStyle w:val="0"/>
        <w:snapToGrid w:val="0"/>
        <w:spacing w:line="300" w:lineRule="exact"/>
        <w:ind w:left="420" w:leftChars="100" w:hanging="210" w:hangingChars="10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pPr>
        <w:pStyle w:val="0"/>
        <w:snapToGrid w:val="0"/>
        <w:spacing w:line="300" w:lineRule="exact"/>
        <w:ind w:left="420" w:leftChars="100" w:hanging="210" w:hangingChars="10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※４　市が運営団体・実施主体となり地域クラブ活動を実施する場合において、市が事業者等に委託して地域クラブ活動を実施する場合は、本確認事項は適用しない。</w:t>
      </w:r>
    </w:p>
    <w:p>
      <w:pPr>
        <w:pStyle w:val="0"/>
        <w:snapToGrid w:val="0"/>
        <w:ind w:left="0" w:leftChars="0" w:firstLineChars="0"/>
        <w:jc w:val="left"/>
        <w:rPr>
          <w:rFonts w:hint="default" w:asciiTheme="minorEastAsia" w:hAnsiTheme="minorEastAsia" w:eastAsiaTheme="minorEastAsia"/>
          <w:color w:val="auto"/>
          <w:sz w:val="21"/>
        </w:rPr>
      </w:pPr>
    </w:p>
    <w:p>
      <w:pPr>
        <w:pStyle w:val="0"/>
        <w:snapToGrid w:val="0"/>
        <w:jc w:val="left"/>
        <w:rPr>
          <w:rFonts w:hint="default" w:asciiTheme="minorEastAsia" w:hAnsiTheme="minorEastAsia" w:eastAsiaTheme="minorEastAsia"/>
          <w:b w:val="1"/>
          <w:color w:val="auto"/>
          <w:sz w:val="21"/>
        </w:rPr>
      </w:pPr>
      <w:r>
        <w:rPr>
          <w:rFonts w:hint="eastAsia" w:asciiTheme="minorEastAsia" w:hAnsiTheme="minorEastAsia" w:eastAsiaTheme="minorEastAsia"/>
          <w:b w:val="1"/>
          <w:color w:val="auto"/>
          <w:sz w:val="21"/>
        </w:rPr>
        <w:t>⑦</w:t>
      </w:r>
      <w:r>
        <w:rPr>
          <w:rFonts w:hint="default" w:asciiTheme="minorEastAsia" w:hAnsiTheme="minorEastAsia" w:eastAsiaTheme="minorEastAsia"/>
          <w:b w:val="1"/>
          <w:color w:val="auto"/>
          <w:sz w:val="21"/>
        </w:rPr>
        <w:t xml:space="preserve"> </w:t>
      </w:r>
      <w:r>
        <w:rPr>
          <w:rFonts w:hint="default" w:asciiTheme="minorEastAsia" w:hAnsiTheme="minorEastAsia" w:eastAsiaTheme="minorEastAsia"/>
          <w:b w:val="1"/>
          <w:color w:val="auto"/>
          <w:sz w:val="21"/>
        </w:rPr>
        <w:t>学校等との連携が適切に行われていること</w:t>
      </w:r>
    </w:p>
    <w:p>
      <w:pPr>
        <w:pStyle w:val="32"/>
        <w:numPr>
          <w:ilvl w:val="0"/>
          <w:numId w:val="8"/>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地域クラブ活動の活動方針や指導方針、スケジュール等</w:t>
      </w:r>
      <w:r>
        <w:rPr>
          <w:rFonts w:hint="eastAsia" w:asciiTheme="minorEastAsia" w:hAnsiTheme="minorEastAsia" w:eastAsiaTheme="minorEastAsia"/>
          <w:color w:val="auto"/>
          <w:sz w:val="21"/>
          <w:vertAlign w:val="superscript"/>
        </w:rPr>
        <w:t>※１</w:t>
      </w:r>
      <w:r>
        <w:rPr>
          <w:rFonts w:hint="eastAsia" w:asciiTheme="minorEastAsia" w:hAnsiTheme="minorEastAsia" w:eastAsiaTheme="minorEastAsia"/>
          <w:color w:val="auto"/>
          <w:sz w:val="21"/>
        </w:rPr>
        <w:t>を生徒の在籍する中学校等と共有すること</w:t>
      </w:r>
    </w:p>
    <w:p>
      <w:pPr>
        <w:pStyle w:val="32"/>
        <w:numPr>
          <w:ilvl w:val="0"/>
          <w:numId w:val="8"/>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生徒の活動状況や活動実績等について、生徒の在籍する中学校等と必要な情報を共有するとともに、情報を適切に管理すること</w:t>
      </w:r>
      <w:r>
        <w:rPr>
          <w:rFonts w:hint="eastAsia" w:asciiTheme="minorEastAsia" w:hAnsiTheme="minorEastAsia" w:eastAsiaTheme="minorEastAsia"/>
          <w:color w:val="auto"/>
          <w:sz w:val="21"/>
          <w:vertAlign w:val="superscript"/>
        </w:rPr>
        <w:t>※２</w:t>
      </w:r>
    </w:p>
    <w:p>
      <w:pPr>
        <w:pStyle w:val="32"/>
        <w:numPr>
          <w:ilvl w:val="0"/>
          <w:numId w:val="8"/>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市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pPr>
        <w:pStyle w:val="32"/>
        <w:numPr>
          <w:ilvl w:val="0"/>
          <w:numId w:val="8"/>
        </w:numPr>
        <w:snapToGrid w:val="0"/>
        <w:ind w:left="709"/>
        <w:contextualSpacing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活動場所として学校施設を活用する場合や希望する教職員による兼職兼業が行われる場合等には、その円滑な実施のため、市や学校との必要な連絡調整を行うこと</w:t>
      </w:r>
    </w:p>
    <w:p>
      <w:pPr>
        <w:pStyle w:val="0"/>
        <w:snapToGrid w:val="0"/>
        <w:spacing w:line="300" w:lineRule="exact"/>
        <w:ind w:left="420" w:leftChars="100" w:hanging="210" w:hangingChars="100"/>
        <w:jc w:val="left"/>
        <w:rPr>
          <w:rFonts w:hint="default" w:asciiTheme="minorEastAsia" w:hAnsiTheme="minorEastAsia" w:eastAsiaTheme="minorEastAsia"/>
          <w:color w:val="auto"/>
          <w:sz w:val="18"/>
        </w:rPr>
      </w:pPr>
    </w:p>
    <w:p>
      <w:pPr>
        <w:pStyle w:val="0"/>
        <w:snapToGrid w:val="0"/>
        <w:spacing w:line="300" w:lineRule="exact"/>
        <w:ind w:left="420" w:leftChars="100" w:hanging="210" w:hangingChars="10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※１　平日の学校部活動と休日の地域クラブ活動が併存している場合などには、平日と休日の活動の一貫指導の観点も含む。</w:t>
      </w:r>
    </w:p>
    <w:p>
      <w:pPr>
        <w:pStyle w:val="0"/>
        <w:snapToGrid w:val="0"/>
        <w:spacing w:line="300" w:lineRule="exact"/>
        <w:ind w:left="42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18"/>
        </w:rPr>
        <w:t>※２　</w:t>
      </w:r>
      <w:r>
        <w:rPr>
          <w:rFonts w:hint="default" w:asciiTheme="minorEastAsia" w:hAnsiTheme="minorEastAsia" w:eastAsiaTheme="minorEastAsia"/>
          <w:color w:val="auto"/>
          <w:sz w:val="18"/>
        </w:rPr>
        <w:t>地域クラブ活動への入会時に、生徒の在籍する中学校等と必要な情報を共有することについて、生徒の保護者の同意を得ておくこと。</w:t>
      </w:r>
    </w:p>
    <w:p>
      <w:pPr>
        <w:pStyle w:val="0"/>
        <w:rPr>
          <w:rFonts w:hint="default" w:asciiTheme="minorEastAsia" w:hAnsiTheme="minorEastAsia" w:eastAsiaTheme="minorEastAsia"/>
          <w:color w:val="auto"/>
          <w:sz w:val="21"/>
        </w:rPr>
      </w:pPr>
    </w:p>
    <w:p>
      <w:pPr>
        <w:pStyle w:val="32"/>
        <w:ind w:left="440"/>
        <w:jc w:val="left"/>
        <w:rPr>
          <w:rFonts w:hint="default" w:asciiTheme="minorEastAsia" w:hAnsiTheme="minorEastAsia" w:eastAsiaTheme="minorEastAsia"/>
          <w:color w:val="auto"/>
          <w:sz w:val="21"/>
        </w:rPr>
      </w:pPr>
    </w:p>
    <w:p>
      <w:pPr>
        <w:pStyle w:val="32"/>
        <w:ind w:left="440"/>
        <w:jc w:val="left"/>
        <w:rPr>
          <w:rFonts w:hint="default" w:asciiTheme="minorEastAsia" w:hAnsiTheme="minorEastAsia" w:eastAsiaTheme="minorEastAsia"/>
          <w:color w:val="auto"/>
          <w:sz w:val="21"/>
        </w:rPr>
      </w:pPr>
    </w:p>
    <w:p>
      <w:pPr>
        <w:pStyle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上記、要件を確認しました。</w:t>
      </w:r>
    </w:p>
    <w:p>
      <w:pPr>
        <w:pStyle w:val="0"/>
        <w:jc w:val="left"/>
        <w:rPr>
          <w:rFonts w:hint="default" w:asciiTheme="minorEastAsia" w:hAnsiTheme="minorEastAsia" w:eastAsiaTheme="minorEastAsia"/>
          <w:color w:val="auto"/>
          <w:sz w:val="21"/>
        </w:rPr>
      </w:pPr>
    </w:p>
    <w:p>
      <w:pPr>
        <w:pStyle w:val="0"/>
        <w:ind w:firstLine="480" w:firstLineChars="200"/>
        <w:jc w:val="righ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年　　月　　日</w:t>
      </w:r>
    </w:p>
    <w:p>
      <w:pPr>
        <w:pStyle w:val="0"/>
        <w:ind w:firstLine="480" w:firstLineChars="200"/>
        <w:jc w:val="right"/>
        <w:rPr>
          <w:rFonts w:hint="default" w:asciiTheme="minorEastAsia" w:hAnsiTheme="minorEastAsia" w:eastAsiaTheme="minorEastAsia"/>
          <w:color w:val="auto"/>
          <w:sz w:val="21"/>
        </w:rPr>
      </w:pPr>
    </w:p>
    <w:p>
      <w:pPr>
        <w:pStyle w:val="0"/>
        <w:ind w:right="240" w:firstLine="480" w:firstLineChars="2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名寄市教育委員会教育長　様</w:t>
      </w:r>
    </w:p>
    <w:p>
      <w:pPr>
        <w:pStyle w:val="0"/>
        <w:wordWrap w:val="0"/>
        <w:ind w:firstLine="480" w:firstLineChars="200"/>
        <w:jc w:val="right"/>
        <w:rPr>
          <w:rFonts w:hint="default" w:asciiTheme="minorEastAsia" w:hAnsiTheme="minorEastAsia" w:eastAsiaTheme="minorEastAsia"/>
          <w:color w:val="auto"/>
          <w:sz w:val="21"/>
        </w:rPr>
      </w:pPr>
    </w:p>
    <w:p>
      <w:pPr>
        <w:pStyle w:val="0"/>
        <w:wordWrap w:val="0"/>
        <w:ind w:firstLine="480" w:firstLineChars="200"/>
        <w:jc w:val="righ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地域クラブ活動名　　　　　　　　　　　</w:t>
      </w:r>
    </w:p>
    <w:p>
      <w:pPr>
        <w:pStyle w:val="0"/>
        <w:wordWrap w:val="0"/>
        <w:ind w:firstLine="480" w:firstLineChars="200"/>
        <w:jc w:val="righ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代表者氏名　　　　　　　　　　　</w:t>
      </w:r>
    </w:p>
    <w:sectPr>
      <w:footerReference r:id="rId6" w:type="default"/>
      <w:pgSz w:w="11906" w:h="16838"/>
      <w:pgMar w:top="1417" w:right="1020" w:bottom="1757" w:left="1247"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24702945"/>
      <w:docPartObj>
        <w:docPartGallery w:val="Page Numbers (Bottom of Page)"/>
        <w:docPartUnique/>
      </w:docPartObj>
    </w:sdtPr>
    <w:sdtEndPr>
      <w:rPr>
        <w:rFonts w:hint="default"/>
      </w:rPr>
    </w:sdtEndPr>
    <w:sdtContent>
      <w:p>
        <w:pPr>
          <w:pStyle w:val="16"/>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80C928C"/>
    <w:lvl w:ilvl="0" w:tplc="661A78F8">
      <w:numFmt w:val="bullet"/>
      <w:lvlText w:val="⃞"/>
      <w:lvlJc w:val="left"/>
      <w:pPr>
        <w:ind w:left="440" w:hanging="440"/>
      </w:pPr>
      <w:rPr>
        <w:rFonts w:hint="eastAsia" w:ascii="メイリオ" w:hAnsi="メイリオ" w:eastAsia="メイリオ"/>
      </w:rPr>
    </w:lvl>
    <w:lvl w:ilvl="1" w:tplc="FFFFFFFF">
      <w:numFmt w:val="bullet"/>
      <w:lvlText w:val=""/>
      <w:lvlJc w:val="left"/>
      <w:pPr>
        <w:ind w:left="880" w:hanging="440"/>
      </w:pPr>
      <w:rPr>
        <w:rFonts w:hint="default" w:ascii="Wingdings" w:hAnsi="Wingdings"/>
      </w:rPr>
    </w:lvl>
    <w:lvl w:ilvl="2" w:tplc="FFFFFFFF">
      <w:numFmt w:val="bullet"/>
      <w:lvlText w:val=""/>
      <w:lvlJc w:val="left"/>
      <w:pPr>
        <w:ind w:left="1320" w:hanging="440"/>
      </w:pPr>
      <w:rPr>
        <w:rFonts w:hint="default" w:ascii="Wingdings" w:hAnsi="Wingdings"/>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abstractNum w:abstractNumId="1">
    <w:nsid w:val="00000002"/>
    <w:multiLevelType w:val="hybridMultilevel"/>
    <w:tmpl w:val="D034E3C2"/>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2">
    <w:nsid w:val="00000003"/>
    <w:multiLevelType w:val="hybridMultilevel"/>
    <w:tmpl w:val="961C3008"/>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3">
    <w:nsid w:val="00000004"/>
    <w:multiLevelType w:val="hybridMultilevel"/>
    <w:tmpl w:val="961C3008"/>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4">
    <w:nsid w:val="00000005"/>
    <w:multiLevelType w:val="hybridMultilevel"/>
    <w:tmpl w:val="98A6C62E"/>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5">
    <w:nsid w:val="00000006"/>
    <w:multiLevelType w:val="hybridMultilevel"/>
    <w:tmpl w:val="68A4B2F0"/>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6">
    <w:nsid w:val="00000007"/>
    <w:multiLevelType w:val="hybridMultilevel"/>
    <w:tmpl w:val="3514CDFC"/>
    <w:lvl w:ilvl="0" w:tplc="FFFFFFFF">
      <w:numFmt w:val="bullet"/>
      <w:lvlText w:val="⃞"/>
      <w:lvlJc w:val="left"/>
      <w:pPr>
        <w:ind w:left="440" w:hanging="440"/>
      </w:pPr>
      <w:rPr>
        <w:rFonts w:hint="eastAsia" w:ascii="メイリオ" w:hAnsi="メイリオ" w:eastAsia="メイリオ"/>
      </w:rPr>
    </w:lvl>
    <w:lvl w:ilvl="1" w:tplc="41D6FBC4">
      <w:numFmt w:val="bullet"/>
      <w:lvlText w:val="・"/>
      <w:lvlJc w:val="left"/>
      <w:pPr>
        <w:ind w:left="880" w:hanging="440"/>
      </w:pPr>
      <w:rPr>
        <w:rFonts w:hint="eastAsia" w:ascii="ＭＳ ゴシック" w:hAnsi="ＭＳ ゴシック" w:eastAsia="ＭＳ ゴシック"/>
      </w:rPr>
    </w:lvl>
    <w:lvl w:ilvl="2" w:tplc="B3E006B6">
      <w:numFmt w:val="bullet"/>
      <w:lvlText w:val="▲"/>
      <w:lvlJc w:val="left"/>
      <w:pPr>
        <w:ind w:left="1240" w:hanging="360"/>
      </w:pPr>
      <w:rPr>
        <w:rFonts w:hint="eastAsia" w:ascii="ＭＳ 明朝" w:hAnsi="ＭＳ 明朝" w:eastAsia="ＭＳ 明朝"/>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abstractNum w:abstractNumId="7">
    <w:nsid w:val="00000008"/>
    <w:multiLevelType w:val="hybridMultilevel"/>
    <w:tmpl w:val="15D60D18"/>
    <w:lvl w:ilvl="0" w:tplc="661A78F8">
      <w:numFmt w:val="bullet"/>
      <w:lvlText w:val="⃞"/>
      <w:lvlJc w:val="left"/>
      <w:pPr>
        <w:ind w:left="440" w:hanging="440"/>
      </w:pPr>
      <w:rPr>
        <w:rFonts w:hint="eastAsia" w:ascii="メイリオ" w:hAnsi="メイリオ" w:eastAsia="メイリオ"/>
      </w:rPr>
    </w:lvl>
    <w:lvl w:ilvl="1" w:tplc="FFFFFFFF">
      <w:numFmt w:val="bullet"/>
      <w:lvlText w:val=""/>
      <w:lvlJc w:val="left"/>
      <w:pPr>
        <w:ind w:left="880" w:hanging="440"/>
      </w:pPr>
      <w:rPr>
        <w:rFonts w:hint="default" w:ascii="Wingdings" w:hAnsi="Wingdings"/>
      </w:rPr>
    </w:lvl>
    <w:lvl w:ilvl="2" w:tplc="FFFFFFFF">
      <w:numFmt w:val="bullet"/>
      <w:lvlText w:val=""/>
      <w:lvlJc w:val="left"/>
      <w:pPr>
        <w:ind w:left="1320" w:hanging="440"/>
      </w:pPr>
      <w:rPr>
        <w:rFonts w:hint="default" w:ascii="Wingdings" w:hAnsi="Wingdings"/>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docDefaults>
  <w:style w:type="paragraph" w:styleId="0" w:default="1">
    <w:name w:val="Normal"/>
    <w:next w:val="0"/>
    <w:link w:val="0"/>
    <w:uiPriority w:val="0"/>
    <w:qFormat/>
    <w:pPr>
      <w:widowControl w:val="0"/>
      <w:jc w:val="both"/>
    </w:pPr>
    <w:rPr>
      <w:sz w:val="21"/>
    </w:rPr>
  </w:style>
  <w:style w:type="paragraph" w:styleId="1">
    <w:name w:val="heading 1"/>
    <w:basedOn w:val="0"/>
    <w:next w:val="0"/>
    <w:link w:val="17"/>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8"/>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9"/>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20"/>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21"/>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2"/>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3"/>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4"/>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5"/>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49"/>
    <w:uiPriority w:val="0"/>
    <w:pPr>
      <w:tabs>
        <w:tab w:val="center" w:leader="none" w:pos="4252"/>
        <w:tab w:val="right" w:leader="none" w:pos="8504"/>
      </w:tabs>
      <w:snapToGrid w:val="0"/>
    </w:pPr>
  </w:style>
  <w:style w:type="character" w:styleId="17" w:customStyle="1">
    <w:name w:val="見出し 1 (文字)"/>
    <w:basedOn w:val="10"/>
    <w:next w:val="17"/>
    <w:link w:val="1"/>
    <w:uiPriority w:val="0"/>
    <w:rPr>
      <w:rFonts w:asciiTheme="majorHAnsi" w:hAnsiTheme="majorHAnsi" w:eastAsiaTheme="majorEastAsia"/>
      <w:color w:val="000000" w:themeColor="text1"/>
      <w:sz w:val="32"/>
    </w:rPr>
  </w:style>
  <w:style w:type="character" w:styleId="18" w:customStyle="1">
    <w:name w:val="見出し 2 (文字)"/>
    <w:basedOn w:val="10"/>
    <w:next w:val="18"/>
    <w:link w:val="2"/>
    <w:uiPriority w:val="0"/>
    <w:rPr>
      <w:rFonts w:asciiTheme="majorHAnsi" w:hAnsiTheme="majorHAnsi" w:eastAsiaTheme="majorEastAsia"/>
      <w:color w:val="000000" w:themeColor="text1"/>
      <w:sz w:val="28"/>
    </w:rPr>
  </w:style>
  <w:style w:type="character" w:styleId="19" w:customStyle="1">
    <w:name w:val="見出し 3 (文字)"/>
    <w:basedOn w:val="10"/>
    <w:next w:val="19"/>
    <w:link w:val="3"/>
    <w:uiPriority w:val="0"/>
    <w:rPr>
      <w:rFonts w:asciiTheme="majorHAnsi" w:hAnsiTheme="majorHAnsi" w:eastAsiaTheme="majorEastAsia"/>
      <w:color w:val="000000" w:themeColor="text1"/>
      <w:sz w:val="24"/>
    </w:rPr>
  </w:style>
  <w:style w:type="character" w:styleId="20" w:customStyle="1">
    <w:name w:val="見出し 4 (文字)"/>
    <w:basedOn w:val="10"/>
    <w:next w:val="20"/>
    <w:link w:val="4"/>
    <w:uiPriority w:val="0"/>
    <w:rPr>
      <w:rFonts w:asciiTheme="majorHAnsi" w:hAnsiTheme="majorHAnsi" w:eastAsiaTheme="majorEastAsia"/>
      <w:color w:val="000000" w:themeColor="text1"/>
      <w:sz w:val="21"/>
    </w:rPr>
  </w:style>
  <w:style w:type="character" w:styleId="21" w:customStyle="1">
    <w:name w:val="見出し 5 (文字)"/>
    <w:basedOn w:val="10"/>
    <w:next w:val="21"/>
    <w:link w:val="5"/>
    <w:uiPriority w:val="0"/>
    <w:rPr>
      <w:rFonts w:asciiTheme="majorHAnsi" w:hAnsiTheme="majorHAnsi" w:eastAsiaTheme="majorEastAsia"/>
      <w:color w:val="000000" w:themeColor="text1"/>
      <w:sz w:val="21"/>
    </w:rPr>
  </w:style>
  <w:style w:type="character" w:styleId="22" w:customStyle="1">
    <w:name w:val="見出し 6 (文字)"/>
    <w:basedOn w:val="10"/>
    <w:next w:val="22"/>
    <w:link w:val="6"/>
    <w:uiPriority w:val="0"/>
    <w:rPr>
      <w:rFonts w:asciiTheme="majorHAnsi" w:hAnsiTheme="majorHAnsi" w:eastAsiaTheme="majorEastAsia"/>
      <w:color w:val="000000" w:themeColor="text1"/>
      <w:sz w:val="21"/>
    </w:rPr>
  </w:style>
  <w:style w:type="character" w:styleId="23" w:customStyle="1">
    <w:name w:val="見出し 7 (文字)"/>
    <w:basedOn w:val="10"/>
    <w:next w:val="23"/>
    <w:link w:val="7"/>
    <w:uiPriority w:val="0"/>
    <w:rPr>
      <w:rFonts w:asciiTheme="majorHAnsi" w:hAnsiTheme="majorHAnsi" w:eastAsiaTheme="majorEastAsia"/>
      <w:color w:val="000000" w:themeColor="text1"/>
      <w:sz w:val="21"/>
    </w:rPr>
  </w:style>
  <w:style w:type="character" w:styleId="24" w:customStyle="1">
    <w:name w:val="見出し 8 (文字)"/>
    <w:basedOn w:val="10"/>
    <w:next w:val="24"/>
    <w:link w:val="8"/>
    <w:uiPriority w:val="0"/>
    <w:rPr>
      <w:rFonts w:asciiTheme="majorHAnsi" w:hAnsiTheme="majorHAnsi" w:eastAsiaTheme="majorEastAsia"/>
      <w:color w:val="000000" w:themeColor="text1"/>
      <w:sz w:val="21"/>
    </w:rPr>
  </w:style>
  <w:style w:type="character" w:styleId="25" w:customStyle="1">
    <w:name w:val="見出し 9 (文字)"/>
    <w:basedOn w:val="10"/>
    <w:next w:val="25"/>
    <w:link w:val="9"/>
    <w:uiPriority w:val="0"/>
    <w:rPr>
      <w:rFonts w:asciiTheme="majorHAnsi" w:hAnsiTheme="majorHAnsi" w:eastAsiaTheme="majorEastAsia"/>
      <w:color w:val="000000" w:themeColor="text1"/>
      <w:sz w:val="21"/>
    </w:rPr>
  </w:style>
  <w:style w:type="paragraph" w:styleId="26">
    <w:name w:val="Title"/>
    <w:basedOn w:val="0"/>
    <w:next w:val="0"/>
    <w:link w:val="27"/>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7" w:customStyle="1">
    <w:name w:val="表題 (文字)"/>
    <w:basedOn w:val="10"/>
    <w:next w:val="27"/>
    <w:link w:val="26"/>
    <w:uiPriority w:val="0"/>
    <w:rPr>
      <w:rFonts w:asciiTheme="majorHAnsi" w:hAnsiTheme="majorHAnsi" w:eastAsiaTheme="majorEastAsia"/>
      <w:spacing w:val="-10"/>
      <w:kern w:val="28"/>
      <w:sz w:val="56"/>
    </w:rPr>
  </w:style>
  <w:style w:type="paragraph" w:styleId="28">
    <w:name w:val="Subtitle"/>
    <w:basedOn w:val="0"/>
    <w:next w:val="0"/>
    <w:link w:val="29"/>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9" w:customStyle="1">
    <w:name w:val="副題 (文字)"/>
    <w:basedOn w:val="10"/>
    <w:next w:val="29"/>
    <w:link w:val="28"/>
    <w:uiPriority w:val="0"/>
    <w:rPr>
      <w:rFonts w:asciiTheme="majorHAnsi" w:hAnsiTheme="majorHAnsi" w:eastAsiaTheme="majorEastAsia"/>
      <w:color w:val="595959" w:themeColor="text1" w:themeTint="A6"/>
      <w:spacing w:val="15"/>
      <w:sz w:val="28"/>
    </w:rPr>
  </w:style>
  <w:style w:type="paragraph" w:styleId="30">
    <w:name w:val="Quote"/>
    <w:basedOn w:val="0"/>
    <w:next w:val="0"/>
    <w:link w:val="31"/>
    <w:uiPriority w:val="0"/>
    <w:qFormat/>
    <w:pPr>
      <w:spacing w:before="160" w:beforeLines="0" w:beforeAutospacing="0" w:after="160" w:afterLines="0" w:afterAutospacing="0"/>
      <w:jc w:val="center"/>
    </w:pPr>
    <w:rPr>
      <w:i w:val="1"/>
      <w:color w:val="424242" w:themeColor="text1" w:themeTint="BF"/>
    </w:rPr>
  </w:style>
  <w:style w:type="character" w:styleId="31" w:customStyle="1">
    <w:name w:val="引用文 (文字)"/>
    <w:basedOn w:val="10"/>
    <w:next w:val="31"/>
    <w:link w:val="30"/>
    <w:uiPriority w:val="0"/>
    <w:rPr>
      <w:i w:val="1"/>
      <w:color w:val="424242" w:themeColor="text1" w:themeTint="BF"/>
      <w:sz w:val="21"/>
    </w:rPr>
  </w:style>
  <w:style w:type="paragraph" w:styleId="32">
    <w:name w:val="List Paragraph"/>
    <w:basedOn w:val="0"/>
    <w:next w:val="32"/>
    <w:link w:val="0"/>
    <w:uiPriority w:val="0"/>
    <w:qFormat/>
    <w:pPr>
      <w:ind w:left="720"/>
      <w:contextualSpacing w:val="1"/>
    </w:pPr>
  </w:style>
  <w:style w:type="character" w:styleId="33">
    <w:name w:val="Intense Emphasis"/>
    <w:basedOn w:val="10"/>
    <w:next w:val="33"/>
    <w:link w:val="0"/>
    <w:uiPriority w:val="0"/>
    <w:qFormat/>
    <w:rPr>
      <w:i w:val="1"/>
      <w:color w:val="366092" w:themeColor="accent1" w:themeShade="BF"/>
    </w:rPr>
  </w:style>
  <w:style w:type="paragraph" w:styleId="34">
    <w:name w:val="Intense Quote"/>
    <w:basedOn w:val="0"/>
    <w:next w:val="0"/>
    <w:link w:val="35"/>
    <w:uiPriority w:val="0"/>
    <w:qFormat/>
    <w:pPr>
      <w:pBdr>
        <w:top w:val="single" w:color="366092" w:themeColor="accent1" w:themeShade="BF" w:sz="4" w:space="10"/>
        <w:bottom w:val="single" w:color="366092" w:themeColor="accent1" w:themeShade="BF" w:sz="4" w:space="10"/>
      </w:pBdr>
      <w:spacing w:before="360" w:beforeLines="0" w:beforeAutospacing="0" w:after="360" w:afterLines="0" w:afterAutospacing="0"/>
      <w:ind w:left="864" w:right="864"/>
      <w:jc w:val="center"/>
    </w:pPr>
    <w:rPr>
      <w:i w:val="1"/>
      <w:color w:val="366092" w:themeColor="accent1" w:themeShade="BF"/>
    </w:rPr>
  </w:style>
  <w:style w:type="character" w:styleId="35" w:customStyle="1">
    <w:name w:val="引用文 2 (文字)"/>
    <w:basedOn w:val="10"/>
    <w:next w:val="35"/>
    <w:link w:val="34"/>
    <w:uiPriority w:val="0"/>
    <w:rPr>
      <w:i w:val="1"/>
      <w:color w:val="366092" w:themeColor="accent1" w:themeShade="BF"/>
      <w:sz w:val="21"/>
    </w:rPr>
  </w:style>
  <w:style w:type="character" w:styleId="36">
    <w:name w:val="Intense Reference"/>
    <w:basedOn w:val="10"/>
    <w:next w:val="36"/>
    <w:link w:val="0"/>
    <w:uiPriority w:val="0"/>
    <w:qFormat/>
    <w:rPr>
      <w:b w:val="1"/>
      <w:smallCaps w:val="1"/>
      <w:color w:val="366092" w:themeColor="accent1" w:themeShade="BF"/>
      <w:spacing w:val="5"/>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basedOn w:val="10"/>
    <w:next w:val="39"/>
    <w:link w:val="38"/>
    <w:uiPriority w:val="0"/>
    <w:rPr>
      <w:sz w:val="21"/>
    </w:rPr>
  </w:style>
  <w:style w:type="paragraph" w:styleId="40">
    <w:name w:val="annotation subject"/>
    <w:basedOn w:val="38"/>
    <w:next w:val="38"/>
    <w:link w:val="41"/>
    <w:uiPriority w:val="0"/>
    <w:semiHidden/>
    <w:rPr>
      <w:b w:val="1"/>
    </w:rPr>
  </w:style>
  <w:style w:type="character" w:styleId="41" w:customStyle="1">
    <w:name w:val="コメント内容 (文字)"/>
    <w:basedOn w:val="39"/>
    <w:next w:val="41"/>
    <w:link w:val="40"/>
    <w:uiPriority w:val="0"/>
    <w:rPr>
      <w:b w:val="1"/>
      <w:sz w:val="21"/>
    </w:rPr>
  </w:style>
  <w:style w:type="character" w:styleId="42">
    <w:name w:val="Hyperlink"/>
    <w:basedOn w:val="10"/>
    <w:next w:val="42"/>
    <w:link w:val="0"/>
    <w:uiPriority w:val="0"/>
    <w:rPr>
      <w:color w:val="0000FF" w:themeColor="hyperlink"/>
      <w:u w:val="single" w:color="auto"/>
    </w:rPr>
  </w:style>
  <w:style w:type="character" w:styleId="43" w:customStyle="1">
    <w:name w:val="Unresolved Mention"/>
    <w:basedOn w:val="10"/>
    <w:next w:val="43"/>
    <w:link w:val="0"/>
    <w:uiPriority w:val="0"/>
    <w:rPr>
      <w:color w:val="605E5C"/>
      <w:shd w:val="clear" w:color="auto" w:fill="E1DFDD"/>
    </w:rPr>
  </w:style>
  <w:style w:type="paragraph" w:styleId="44">
    <w:name w:val="Note Heading"/>
    <w:basedOn w:val="0"/>
    <w:next w:val="0"/>
    <w:link w:val="45"/>
    <w:uiPriority w:val="0"/>
    <w:pPr>
      <w:jc w:val="center"/>
    </w:pPr>
  </w:style>
  <w:style w:type="character" w:styleId="45" w:customStyle="1">
    <w:name w:val="記 (文字)"/>
    <w:basedOn w:val="10"/>
    <w:next w:val="45"/>
    <w:link w:val="44"/>
    <w:uiPriority w:val="0"/>
    <w:rPr>
      <w:sz w:val="21"/>
    </w:rPr>
  </w:style>
  <w:style w:type="paragraph" w:styleId="46">
    <w:name w:val="Closing"/>
    <w:basedOn w:val="0"/>
    <w:next w:val="46"/>
    <w:link w:val="47"/>
    <w:uiPriority w:val="0"/>
    <w:pPr>
      <w:jc w:val="right"/>
    </w:pPr>
  </w:style>
  <w:style w:type="character" w:styleId="47" w:customStyle="1">
    <w:name w:val="結語 (文字)"/>
    <w:basedOn w:val="10"/>
    <w:next w:val="47"/>
    <w:link w:val="46"/>
    <w:uiPriority w:val="0"/>
    <w:rPr>
      <w:sz w:val="21"/>
    </w:rPr>
  </w:style>
  <w:style w:type="paragraph" w:styleId="48">
    <w:name w:val="Revision"/>
    <w:next w:val="48"/>
    <w:link w:val="0"/>
    <w:uiPriority w:val="0"/>
    <w:rPr>
      <w:sz w:val="21"/>
    </w:rPr>
  </w:style>
  <w:style w:type="character" w:styleId="49" w:customStyle="1">
    <w:name w:val="フッター (文字)"/>
    <w:basedOn w:val="10"/>
    <w:next w:val="49"/>
    <w:link w:val="16"/>
    <w:uiPriority w:val="0"/>
    <w:rPr>
      <w:sz w:val="21"/>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695</TotalTime>
  <Pages>3</Pages>
  <Words>9</Words>
  <Characters>3405</Characters>
  <Application>JUST Note</Application>
  <Lines>127</Lines>
  <Paragraphs>57</Paragraphs>
  <CharactersWithSpaces>3459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上野拓海</dc:creator>
  <cp:lastModifiedBy>渡辺　知也</cp:lastModifiedBy>
  <cp:lastPrinted>2026-03-17T04:29:14Z</cp:lastPrinted>
  <dcterms:created xsi:type="dcterms:W3CDTF">2025-12-04T09:04:00Z</dcterms:created>
  <dcterms:modified xsi:type="dcterms:W3CDTF">2026-03-17T04:29:25Z</dcterms:modified>
  <cp:revision>17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899a617-f30e-4fb8-b81c-fb6d0b94ac5b_ActionId">
    <vt:lpwstr>713ddfa3-4397-42a4-8633-edf26849acfd</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2025-11-12T05:25:46Z</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Tag">
    <vt:lpwstr>10, 3, 0, 1</vt:lpwstr>
  </property>
</Properties>
</file>