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 w:beforeLines="0" w:beforeAutospacing="0" w:line="242" w:lineRule="auto"/>
        <w:rPr>
          <w:rFonts w:hint="default"/>
          <w:color w:val="000000" w:themeColor="text1"/>
          <w:sz w:val="24"/>
        </w:rPr>
      </w:pPr>
      <w:r>
        <w:rPr>
          <w:rFonts w:hint="eastAsia"/>
          <w:color w:val="000000" w:themeColor="text1"/>
          <w:sz w:val="24"/>
        </w:rPr>
        <w:t>別紙　</w:t>
      </w:r>
      <w:r>
        <w:rPr>
          <w:rFonts w:hint="default"/>
          <w:color w:val="000000" w:themeColor="text1"/>
          <w:sz w:val="24"/>
        </w:rPr>
        <w:t>世代交代円滑化タイプにおける</w:t>
      </w:r>
      <w:r>
        <w:rPr>
          <w:rFonts w:hint="eastAsia"/>
          <w:color w:val="000000" w:themeColor="text1"/>
          <w:sz w:val="24"/>
        </w:rPr>
        <w:t>確認</w:t>
      </w:r>
      <w:r>
        <w:rPr>
          <w:rFonts w:hint="default"/>
          <w:color w:val="000000" w:themeColor="text1"/>
          <w:sz w:val="24"/>
        </w:rPr>
        <w:t>表</w:t>
      </w:r>
    </w:p>
    <w:p>
      <w:pPr>
        <w:pStyle w:val="0"/>
        <w:spacing w:before="3" w:beforeLines="0" w:beforeAutospacing="0" w:line="242" w:lineRule="auto"/>
        <w:rPr>
          <w:rFonts w:hint="default"/>
          <w:color w:val="000000" w:themeColor="text1"/>
          <w:sz w:val="24"/>
        </w:rPr>
      </w:pPr>
    </w:p>
    <w:p>
      <w:pPr>
        <w:pStyle w:val="15"/>
        <w:numPr>
          <w:ilvl w:val="0"/>
          <w:numId w:val="1"/>
        </w:numPr>
        <w:spacing w:before="3" w:beforeLines="0" w:beforeAutospacing="0" w:line="242" w:lineRule="auto"/>
        <w:rPr>
          <w:rFonts w:hint="default"/>
          <w:color w:val="000000" w:themeColor="text1"/>
          <w:sz w:val="24"/>
        </w:rPr>
      </w:pPr>
      <w:r>
        <w:rPr>
          <w:rFonts w:hint="eastAsia"/>
          <w:color w:val="000000" w:themeColor="text1"/>
          <w:sz w:val="24"/>
        </w:rPr>
        <w:t>実施する項目に〇を記載してください。</w:t>
      </w:r>
    </w:p>
    <w:tbl>
      <w:tblPr>
        <w:tblStyle w:val="20"/>
        <w:tblW w:w="8927" w:type="dxa"/>
        <w:tblInd w:w="421" w:type="dxa"/>
        <w:tblLayout w:type="fixed"/>
        <w:tblLook w:firstRow="1" w:lastRow="0" w:firstColumn="1" w:lastColumn="0" w:noHBand="0" w:noVBand="1" w:val="04A0"/>
      </w:tblPr>
      <w:tblGrid>
        <w:gridCol w:w="576"/>
        <w:gridCol w:w="1310"/>
        <w:gridCol w:w="5910"/>
        <w:gridCol w:w="1131"/>
      </w:tblGrid>
      <w:tr>
        <w:trPr/>
        <w:tc>
          <w:tcPr>
            <w:tcW w:w="576" w:type="dxa"/>
            <w:shd w:val="clear" w:color="auto" w:themeFill="background1" w:themeFillTint="FF" w:themeFillShade="F2"/>
            <w:vAlign w:val="top"/>
          </w:tcPr>
          <w:p>
            <w:pPr>
              <w:pStyle w:val="0"/>
              <w:spacing w:line="0" w:lineRule="atLeast"/>
              <w:jc w:val="center"/>
              <w:rPr>
                <w:rFonts w:hint="default"/>
                <w:sz w:val="24"/>
              </w:rPr>
            </w:pPr>
            <w:r>
              <w:rPr>
                <w:rFonts w:hint="eastAsia"/>
                <w:sz w:val="24"/>
              </w:rPr>
              <w:t>No.</w:t>
            </w:r>
          </w:p>
        </w:tc>
        <w:tc>
          <w:tcPr>
            <w:tcW w:w="7220" w:type="dxa"/>
            <w:gridSpan w:val="2"/>
            <w:shd w:val="clear" w:color="auto" w:themeFill="background1" w:themeFillTint="FF" w:themeFillShade="F2"/>
            <w:vAlign w:val="top"/>
          </w:tcPr>
          <w:p>
            <w:pPr>
              <w:pStyle w:val="0"/>
              <w:spacing w:line="0" w:lineRule="atLeast"/>
              <w:jc w:val="center"/>
              <w:rPr>
                <w:rFonts w:hint="default"/>
                <w:sz w:val="24"/>
              </w:rPr>
            </w:pPr>
            <w:r>
              <w:rPr>
                <w:rFonts w:hint="eastAsia"/>
                <w:sz w:val="24"/>
              </w:rPr>
              <w:t>項目</w:t>
            </w:r>
          </w:p>
        </w:tc>
        <w:tc>
          <w:tcPr>
            <w:tcW w:w="1131" w:type="dxa"/>
            <w:shd w:val="clear" w:color="auto" w:themeFill="background1" w:themeFillTint="FF" w:themeFillShade="F2"/>
            <w:vAlign w:val="top"/>
          </w:tcPr>
          <w:p>
            <w:pPr>
              <w:pStyle w:val="0"/>
              <w:spacing w:line="0" w:lineRule="atLeast"/>
              <w:jc w:val="center"/>
              <w:rPr>
                <w:rFonts w:hint="default"/>
                <w:sz w:val="24"/>
              </w:rPr>
            </w:pPr>
            <w:r>
              <w:rPr>
                <w:rFonts w:hint="eastAsia"/>
                <w:sz w:val="24"/>
              </w:rPr>
              <w:t>実施</w:t>
            </w:r>
          </w:p>
        </w:tc>
      </w:tr>
      <w:tr>
        <w:trPr>
          <w:trHeight w:val="992" w:hRule="atLeast"/>
        </w:trPr>
        <w:tc>
          <w:tcPr>
            <w:tcW w:w="576" w:type="dxa"/>
            <w:vMerge w:val="restart"/>
            <w:shd w:val="clear" w:color="auto" w:fill="auto"/>
            <w:vAlign w:val="center"/>
          </w:tcPr>
          <w:p>
            <w:pPr>
              <w:pStyle w:val="0"/>
              <w:spacing w:line="0" w:lineRule="atLeast"/>
              <w:jc w:val="center"/>
              <w:rPr>
                <w:rFonts w:hint="default"/>
                <w:sz w:val="24"/>
              </w:rPr>
            </w:pPr>
            <w:r>
              <w:rPr>
                <w:rFonts w:hint="eastAsia"/>
                <w:sz w:val="24"/>
              </w:rPr>
              <w:t>１</w:t>
            </w:r>
          </w:p>
        </w:tc>
        <w:tc>
          <w:tcPr>
            <w:tcW w:w="1310" w:type="dxa"/>
            <w:vMerge w:val="restart"/>
            <w:vAlign w:val="center"/>
          </w:tcPr>
          <w:p>
            <w:pPr>
              <w:pStyle w:val="0"/>
              <w:spacing w:line="0" w:lineRule="atLeast"/>
              <w:ind w:left="312" w:hanging="312" w:hangingChars="130"/>
              <w:rPr>
                <w:rFonts w:hint="default"/>
                <w:sz w:val="24"/>
              </w:rPr>
            </w:pPr>
            <w:r>
              <w:rPr>
                <w:rFonts w:hint="eastAsia"/>
                <w:sz w:val="24"/>
              </w:rPr>
              <w:t>研修</w:t>
            </w:r>
          </w:p>
        </w:tc>
        <w:tc>
          <w:tcPr>
            <w:tcW w:w="5910" w:type="dxa"/>
            <w:shd w:val="clear" w:color="auto" w:fill="auto"/>
            <w:vAlign w:val="top"/>
          </w:tcPr>
          <w:p>
            <w:pPr>
              <w:pStyle w:val="0"/>
              <w:spacing w:line="0" w:lineRule="atLeast"/>
              <w:ind w:left="312" w:hanging="312" w:hangingChars="130"/>
              <w:rPr>
                <w:rFonts w:hint="default"/>
                <w:sz w:val="24"/>
              </w:rPr>
            </w:pPr>
            <w:r>
              <w:rPr>
                <w:rFonts w:hint="eastAsia"/>
                <w:sz w:val="24"/>
              </w:rPr>
              <w:t>①　農業生産に関して、自らが取り組もうとする作目を含む研修を概ね</w:t>
            </w:r>
            <w:r>
              <w:rPr>
                <w:rFonts w:hint="eastAsia"/>
                <w:sz w:val="24"/>
              </w:rPr>
              <w:t>1</w:t>
            </w:r>
            <w:r>
              <w:rPr>
                <w:rFonts w:hint="eastAsia"/>
                <w:sz w:val="24"/>
              </w:rPr>
              <w:t>年以上（概ね</w:t>
            </w:r>
            <w:r>
              <w:rPr>
                <w:rFonts w:hint="eastAsia"/>
                <w:sz w:val="24"/>
              </w:rPr>
              <w:t>1,200</w:t>
            </w:r>
            <w:r>
              <w:rPr>
                <w:rFonts w:hint="eastAsia"/>
                <w:sz w:val="24"/>
              </w:rPr>
              <w:t>時間以上）受けている</w:t>
            </w:r>
          </w:p>
        </w:tc>
        <w:tc>
          <w:tcPr>
            <w:tcW w:w="1131" w:type="dxa"/>
            <w:shd w:val="clear" w:color="auto" w:fill="auto"/>
            <w:vAlign w:val="center"/>
          </w:tcPr>
          <w:p>
            <w:pPr>
              <w:pStyle w:val="0"/>
              <w:spacing w:line="0" w:lineRule="atLeast"/>
              <w:jc w:val="center"/>
              <w:rPr>
                <w:rFonts w:hint="default"/>
                <w:sz w:val="24"/>
              </w:rPr>
            </w:pPr>
          </w:p>
        </w:tc>
      </w:tr>
      <w:tr>
        <w:trPr>
          <w:trHeight w:val="991" w:hRule="atLeast"/>
        </w:trPr>
        <w:tc>
          <w:tcPr>
            <w:tcW w:w="576" w:type="dxa"/>
            <w:vMerge w:val="continue"/>
            <w:shd w:val="clear" w:color="auto" w:fill="auto"/>
            <w:vAlign w:val="center"/>
          </w:tcPr>
          <w:p>
            <w:pPr>
              <w:pStyle w:val="0"/>
              <w:spacing w:line="0" w:lineRule="atLeast"/>
              <w:jc w:val="center"/>
              <w:rPr>
                <w:rFonts w:hint="default"/>
                <w:sz w:val="24"/>
              </w:rPr>
            </w:pPr>
          </w:p>
        </w:tc>
        <w:tc>
          <w:tcPr>
            <w:tcW w:w="1310" w:type="dxa"/>
            <w:vMerge w:val="continue"/>
            <w:vAlign w:val="center"/>
          </w:tcPr>
          <w:p>
            <w:pPr>
              <w:pStyle w:val="0"/>
              <w:spacing w:line="0" w:lineRule="atLeast"/>
              <w:ind w:left="312" w:hanging="312" w:hangingChars="130"/>
              <w:rPr>
                <w:rFonts w:hint="default"/>
                <w:sz w:val="24"/>
              </w:rPr>
            </w:pPr>
          </w:p>
        </w:tc>
        <w:tc>
          <w:tcPr>
            <w:tcW w:w="5910" w:type="dxa"/>
            <w:shd w:val="clear" w:color="auto" w:fill="auto"/>
            <w:vAlign w:val="top"/>
          </w:tcPr>
          <w:p>
            <w:pPr>
              <w:pStyle w:val="0"/>
              <w:spacing w:line="0" w:lineRule="atLeast"/>
              <w:ind w:left="312" w:hanging="312" w:hangingChars="130"/>
              <w:rPr>
                <w:rFonts w:hint="default"/>
                <w:sz w:val="24"/>
                <w:highlight w:val="yellow"/>
              </w:rPr>
            </w:pPr>
            <w:r>
              <w:rPr>
                <w:rFonts w:hint="eastAsia"/>
                <w:sz w:val="24"/>
              </w:rPr>
              <w:t>②　農業生産に関して、自らが取り組もうとする作目について研修を概ね</w:t>
            </w:r>
            <w:r>
              <w:rPr>
                <w:rFonts w:hint="eastAsia"/>
                <w:sz w:val="24"/>
              </w:rPr>
              <w:t>1</w:t>
            </w:r>
            <w:r>
              <w:rPr>
                <w:rFonts w:hint="eastAsia"/>
                <w:sz w:val="24"/>
              </w:rPr>
              <w:t>年以上（概ね</w:t>
            </w:r>
            <w:r>
              <w:rPr>
                <w:rFonts w:hint="eastAsia"/>
                <w:sz w:val="24"/>
              </w:rPr>
              <w:t>1,200</w:t>
            </w:r>
            <w:r>
              <w:rPr>
                <w:rFonts w:hint="eastAsia"/>
                <w:sz w:val="24"/>
              </w:rPr>
              <w:t>時間以上）受けている</w:t>
            </w:r>
          </w:p>
        </w:tc>
        <w:tc>
          <w:tcPr>
            <w:tcW w:w="1131" w:type="dxa"/>
            <w:shd w:val="clear" w:color="auto" w:fill="auto"/>
            <w:vAlign w:val="center"/>
          </w:tcPr>
          <w:p>
            <w:pPr>
              <w:pStyle w:val="0"/>
              <w:spacing w:line="0" w:lineRule="atLeast"/>
              <w:jc w:val="center"/>
              <w:rPr>
                <w:rFonts w:hint="default"/>
                <w:sz w:val="24"/>
              </w:rPr>
            </w:pPr>
          </w:p>
        </w:tc>
      </w:tr>
      <w:tr>
        <w:trPr>
          <w:trHeight w:val="992" w:hRule="atLeast"/>
        </w:trPr>
        <w:tc>
          <w:tcPr>
            <w:tcW w:w="576" w:type="dxa"/>
            <w:vMerge w:val="continue"/>
            <w:shd w:val="clear" w:color="auto" w:fill="auto"/>
            <w:vAlign w:val="center"/>
          </w:tcPr>
          <w:p>
            <w:pPr>
              <w:pStyle w:val="0"/>
              <w:spacing w:line="0" w:lineRule="atLeast"/>
              <w:jc w:val="center"/>
              <w:rPr>
                <w:rFonts w:hint="default"/>
                <w:sz w:val="24"/>
              </w:rPr>
            </w:pPr>
          </w:p>
        </w:tc>
        <w:tc>
          <w:tcPr>
            <w:tcW w:w="1310" w:type="dxa"/>
            <w:vMerge w:val="continue"/>
            <w:vAlign w:val="center"/>
          </w:tcPr>
          <w:p>
            <w:pPr>
              <w:pStyle w:val="0"/>
              <w:spacing w:line="0" w:lineRule="atLeast"/>
              <w:ind w:left="312" w:hanging="312" w:hangingChars="130"/>
              <w:rPr>
                <w:rFonts w:hint="default"/>
                <w:sz w:val="24"/>
              </w:rPr>
            </w:pPr>
          </w:p>
        </w:tc>
        <w:tc>
          <w:tcPr>
            <w:tcW w:w="5910" w:type="dxa"/>
            <w:shd w:val="clear" w:color="auto" w:fill="auto"/>
            <w:vAlign w:val="top"/>
          </w:tcPr>
          <w:p>
            <w:pPr>
              <w:pStyle w:val="0"/>
              <w:spacing w:line="0" w:lineRule="atLeast"/>
              <w:ind w:left="312" w:hanging="312" w:hangingChars="130"/>
              <w:rPr>
                <w:rFonts w:hint="default"/>
                <w:sz w:val="24"/>
              </w:rPr>
            </w:pPr>
            <w:r>
              <w:rPr>
                <w:rFonts w:hint="eastAsia"/>
                <w:sz w:val="24"/>
              </w:rPr>
              <w:t>③　①②に加え、販売・流通・マーケティングの知識、帳簿や財務諸表の作成、労務管理等の農業経営に関する研修を受けている</w:t>
            </w:r>
          </w:p>
        </w:tc>
        <w:tc>
          <w:tcPr>
            <w:tcW w:w="1131" w:type="dxa"/>
            <w:shd w:val="clear" w:color="auto" w:fill="auto"/>
            <w:vAlign w:val="center"/>
          </w:tcPr>
          <w:p>
            <w:pPr>
              <w:pStyle w:val="0"/>
              <w:spacing w:line="0" w:lineRule="atLeast"/>
              <w:jc w:val="center"/>
              <w:rPr>
                <w:rFonts w:hint="default"/>
                <w:sz w:val="24"/>
              </w:rPr>
            </w:pPr>
          </w:p>
        </w:tc>
      </w:tr>
      <w:tr>
        <w:trPr>
          <w:trHeight w:val="296" w:hRule="atLeast"/>
        </w:trPr>
        <w:tc>
          <w:tcPr>
            <w:tcW w:w="57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sz w:val="24"/>
              </w:rPr>
            </w:pPr>
            <w:r>
              <w:rPr>
                <w:rFonts w:hint="eastAsia"/>
                <w:sz w:val="24"/>
              </w:rPr>
              <w:t>２</w:t>
            </w:r>
          </w:p>
        </w:tc>
        <w:tc>
          <w:tcPr>
            <w:tcW w:w="131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r>
              <w:rPr>
                <w:rFonts w:hint="eastAsia"/>
                <w:sz w:val="24"/>
              </w:rPr>
              <w:t>サポート体制</w:t>
            </w:r>
          </w:p>
        </w:tc>
        <w:tc>
          <w:tcPr>
            <w:tcW w:w="5910" w:type="dxa"/>
            <w:shd w:val="clear" w:color="auto" w:fill="auto"/>
            <w:vAlign w:val="top"/>
          </w:tcPr>
          <w:p>
            <w:pPr>
              <w:pStyle w:val="15"/>
              <w:numPr>
                <w:ilvl w:val="0"/>
                <w:numId w:val="2"/>
              </w:numPr>
              <w:spacing w:line="0" w:lineRule="atLeast"/>
              <w:rPr>
                <w:rFonts w:hint="default"/>
                <w:sz w:val="24"/>
              </w:rPr>
            </w:pPr>
            <w:r>
              <w:rPr>
                <w:rFonts w:hint="eastAsia"/>
                <w:sz w:val="24"/>
              </w:rPr>
              <w:t>－</w:t>
            </w:r>
            <w:r>
              <w:rPr>
                <w:rFonts w:hint="eastAsia"/>
                <w:sz w:val="24"/>
              </w:rPr>
              <w:t>1</w:t>
            </w:r>
            <w:r>
              <w:rPr>
                <w:rFonts w:hint="eastAsia"/>
                <w:sz w:val="24"/>
              </w:rPr>
              <w:t>　地域サポート計画が策定されている</w:t>
            </w:r>
          </w:p>
        </w:tc>
        <w:tc>
          <w:tcPr>
            <w:tcW w:w="1131" w:type="dxa"/>
            <w:shd w:val="clear" w:color="auto" w:fill="auto"/>
            <w:vAlign w:val="center"/>
          </w:tcPr>
          <w:p>
            <w:pPr>
              <w:pStyle w:val="0"/>
              <w:spacing w:line="0" w:lineRule="atLeast"/>
              <w:jc w:val="center"/>
              <w:rPr>
                <w:rFonts w:hint="default"/>
                <w:sz w:val="24"/>
              </w:rPr>
            </w:pPr>
            <w:r>
              <w:rPr>
                <w:rFonts w:hint="eastAsia"/>
                <w:sz w:val="24"/>
              </w:rPr>
              <w:t>〇</w:t>
            </w:r>
          </w:p>
        </w:tc>
      </w:tr>
      <w:tr>
        <w:trPr/>
        <w:tc>
          <w:tcPr>
            <w:tcW w:w="576" w:type="dxa"/>
            <w:vMerge w:val="continue"/>
            <w:shd w:val="clear" w:color="auto" w:fill="auto"/>
            <w:vAlign w:val="center"/>
          </w:tcPr>
          <w:p>
            <w:pPr>
              <w:pStyle w:val="0"/>
              <w:spacing w:line="0" w:lineRule="atLeast"/>
              <w:jc w:val="center"/>
              <w:rPr>
                <w:rFonts w:hint="default"/>
                <w:sz w:val="24"/>
              </w:rPr>
            </w:pPr>
          </w:p>
        </w:tc>
        <w:tc>
          <w:tcPr>
            <w:tcW w:w="1310" w:type="dxa"/>
            <w:vMerge w:val="continue"/>
            <w:vAlign w:val="center"/>
          </w:tcPr>
          <w:p>
            <w:pPr>
              <w:pStyle w:val="0"/>
              <w:spacing w:line="0" w:lineRule="atLeast"/>
              <w:ind w:left="312" w:hanging="312" w:hangingChars="130"/>
              <w:rPr>
                <w:rFonts w:hint="default"/>
                <w:sz w:val="24"/>
              </w:rPr>
            </w:pPr>
          </w:p>
        </w:tc>
        <w:tc>
          <w:tcPr>
            <w:tcW w:w="5910" w:type="dxa"/>
            <w:shd w:val="clear" w:color="auto" w:fill="auto"/>
            <w:vAlign w:val="top"/>
          </w:tcPr>
          <w:p>
            <w:pPr>
              <w:pStyle w:val="15"/>
              <w:numPr>
                <w:ilvl w:val="0"/>
                <w:numId w:val="3"/>
              </w:numPr>
              <w:spacing w:line="0" w:lineRule="atLeast"/>
              <w:rPr>
                <w:rFonts w:hint="default"/>
                <w:sz w:val="24"/>
              </w:rPr>
            </w:pPr>
            <w:r>
              <w:rPr>
                <w:rFonts w:hint="eastAsia"/>
                <w:sz w:val="24"/>
              </w:rPr>
              <w:t>－</w:t>
            </w:r>
            <w:r>
              <w:rPr>
                <w:rFonts w:hint="eastAsia"/>
                <w:sz w:val="24"/>
              </w:rPr>
              <w:t>2</w:t>
            </w:r>
            <w:r>
              <w:rPr>
                <w:rFonts w:hint="eastAsia"/>
                <w:sz w:val="24"/>
              </w:rPr>
              <w:t>　①－</w:t>
            </w:r>
            <w:r>
              <w:rPr>
                <w:rFonts w:hint="eastAsia"/>
                <w:sz w:val="24"/>
              </w:rPr>
              <w:t>1</w:t>
            </w:r>
            <w:r>
              <w:rPr>
                <w:rFonts w:hint="eastAsia"/>
                <w:sz w:val="24"/>
              </w:rPr>
              <w:t>に加え、普及指導センターの普及指導活動の対象者として選定されている</w:t>
            </w:r>
          </w:p>
        </w:tc>
        <w:tc>
          <w:tcPr>
            <w:tcW w:w="1131" w:type="dxa"/>
            <w:shd w:val="clear" w:color="auto" w:fill="auto"/>
            <w:vAlign w:val="center"/>
          </w:tcPr>
          <w:p>
            <w:pPr>
              <w:pStyle w:val="0"/>
              <w:spacing w:line="0" w:lineRule="atLeast"/>
              <w:jc w:val="center"/>
              <w:rPr>
                <w:rFonts w:hint="default"/>
                <w:sz w:val="24"/>
              </w:rPr>
            </w:pPr>
          </w:p>
        </w:tc>
      </w:tr>
      <w:tr>
        <w:trPr/>
        <w:tc>
          <w:tcPr>
            <w:tcW w:w="5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sz w:val="24"/>
              </w:rPr>
            </w:pPr>
          </w:p>
        </w:tc>
        <w:tc>
          <w:tcPr>
            <w:tcW w:w="13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312" w:hanging="312" w:hangingChars="130"/>
              <w:rPr>
                <w:rFonts w:hint="default"/>
                <w:sz w:val="24"/>
              </w:rPr>
            </w:pP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numPr>
                <w:ilvl w:val="0"/>
                <w:numId w:val="4"/>
              </w:numPr>
              <w:spacing w:line="0" w:lineRule="atLeast"/>
              <w:rPr>
                <w:rFonts w:hint="default"/>
                <w:sz w:val="24"/>
              </w:rPr>
            </w:pPr>
            <w:r>
              <w:rPr>
                <w:rFonts w:hint="eastAsia"/>
                <w:sz w:val="24"/>
              </w:rPr>
              <w:t>－</w:t>
            </w:r>
            <w:r>
              <w:rPr>
                <w:rFonts w:hint="eastAsia"/>
                <w:sz w:val="24"/>
              </w:rPr>
              <w:t>3</w:t>
            </w:r>
            <w:r>
              <w:rPr>
                <w:rFonts w:hint="eastAsia"/>
                <w:sz w:val="24"/>
              </w:rPr>
              <w:t>　①－</w:t>
            </w:r>
            <w:r>
              <w:rPr>
                <w:rFonts w:hint="eastAsia"/>
                <w:sz w:val="24"/>
              </w:rPr>
              <w:t>2</w:t>
            </w:r>
            <w:r>
              <w:rPr>
                <w:rFonts w:hint="eastAsia"/>
                <w:sz w:val="24"/>
              </w:rPr>
              <w:t>に加え、①－</w:t>
            </w:r>
            <w:r>
              <w:rPr>
                <w:rFonts w:hint="eastAsia"/>
                <w:sz w:val="24"/>
              </w:rPr>
              <w:t>1</w:t>
            </w:r>
            <w:r>
              <w:rPr>
                <w:rFonts w:hint="eastAsia"/>
                <w:sz w:val="24"/>
              </w:rPr>
              <w:t>の地域サポート計画の支援分野の全て</w:t>
            </w:r>
            <w:r>
              <w:rPr>
                <w:rFonts w:hint="eastAsia"/>
                <w:sz w:val="24"/>
                <w:vertAlign w:val="superscript"/>
              </w:rPr>
              <w:t>※１</w:t>
            </w:r>
            <w:r>
              <w:rPr>
                <w:rFonts w:hint="eastAsia"/>
                <w:sz w:val="24"/>
              </w:rPr>
              <w:t>について、担当機関・部署が明確になっている</w:t>
            </w:r>
          </w:p>
        </w:tc>
        <w:tc>
          <w:tcPr>
            <w:tcW w:w="1131" w:type="dxa"/>
            <w:shd w:val="clear" w:color="auto" w:fill="auto"/>
            <w:vAlign w:val="center"/>
          </w:tcPr>
          <w:p>
            <w:pPr>
              <w:pStyle w:val="0"/>
              <w:spacing w:line="0" w:lineRule="atLeast"/>
              <w:jc w:val="center"/>
              <w:rPr>
                <w:rFonts w:hint="default"/>
                <w:sz w:val="24"/>
              </w:rPr>
            </w:pPr>
          </w:p>
        </w:tc>
      </w:tr>
      <w:tr>
        <w:trPr/>
        <w:tc>
          <w:tcPr>
            <w:tcW w:w="576" w:type="dxa"/>
            <w:vMerge w:val="restart"/>
            <w:shd w:val="clear" w:color="auto" w:fill="auto"/>
            <w:vAlign w:val="center"/>
          </w:tcPr>
          <w:p>
            <w:pPr>
              <w:pStyle w:val="0"/>
              <w:widowControl w:val="1"/>
              <w:spacing w:line="0" w:lineRule="atLeast"/>
              <w:jc w:val="center"/>
              <w:rPr>
                <w:rFonts w:hint="default"/>
                <w:sz w:val="24"/>
              </w:rPr>
            </w:pPr>
            <w:r>
              <w:rPr>
                <w:rFonts w:hint="eastAsia"/>
                <w:sz w:val="24"/>
              </w:rPr>
              <w:t>３</w:t>
            </w:r>
          </w:p>
        </w:tc>
        <w:tc>
          <w:tcPr>
            <w:tcW w:w="1310" w:type="dxa"/>
            <w:vMerge w:val="restart"/>
            <w:vAlign w:val="center"/>
          </w:tcPr>
          <w:p>
            <w:pPr>
              <w:pStyle w:val="0"/>
              <w:spacing w:line="0" w:lineRule="atLeast"/>
              <w:rPr>
                <w:rFonts w:hint="default"/>
                <w:sz w:val="24"/>
              </w:rPr>
            </w:pPr>
            <w:r>
              <w:rPr>
                <w:rFonts w:hint="eastAsia"/>
                <w:sz w:val="24"/>
              </w:rPr>
              <w:t>経営管理の合理化</w:t>
            </w:r>
          </w:p>
        </w:tc>
        <w:tc>
          <w:tcPr>
            <w:tcW w:w="5910" w:type="dxa"/>
            <w:shd w:val="clear" w:color="auto" w:fill="auto"/>
            <w:vAlign w:val="top"/>
          </w:tcPr>
          <w:p>
            <w:pPr>
              <w:pStyle w:val="0"/>
              <w:widowControl w:val="1"/>
              <w:spacing w:line="0" w:lineRule="atLeast"/>
              <w:ind w:left="312" w:hanging="312" w:hangingChars="130"/>
              <w:rPr>
                <w:rFonts w:hint="default"/>
                <w:sz w:val="24"/>
              </w:rPr>
            </w:pPr>
            <w:r>
              <w:rPr>
                <w:rFonts w:hint="eastAsia"/>
                <w:sz w:val="24"/>
              </w:rPr>
              <w:t>①　圃場等に農作業の記録（施肥量、農薬散布量、作業時間等）を毎日つける</w:t>
            </w:r>
          </w:p>
        </w:tc>
        <w:tc>
          <w:tcPr>
            <w:tcW w:w="1131" w:type="dxa"/>
            <w:shd w:val="clear" w:color="auto" w:fill="auto"/>
            <w:vAlign w:val="center"/>
          </w:tcPr>
          <w:p>
            <w:pPr>
              <w:pStyle w:val="0"/>
              <w:widowControl w:val="1"/>
              <w:spacing w:line="0" w:lineRule="atLeast"/>
              <w:jc w:val="center"/>
              <w:rPr>
                <w:rFonts w:hint="default"/>
                <w:sz w:val="24"/>
              </w:rPr>
            </w:pPr>
          </w:p>
        </w:tc>
      </w:tr>
      <w:tr>
        <w:trPr>
          <w:trHeight w:val="322" w:hRule="atLeast"/>
        </w:trPr>
        <w:tc>
          <w:tcPr>
            <w:tcW w:w="576" w:type="dxa"/>
            <w:vMerge w:val="continue"/>
            <w:shd w:val="clear" w:color="auto" w:fill="auto"/>
            <w:vAlign w:val="center"/>
          </w:tcPr>
          <w:p>
            <w:pPr>
              <w:pStyle w:val="0"/>
              <w:widowControl w:val="1"/>
              <w:spacing w:line="0" w:lineRule="atLeast"/>
              <w:jc w:val="center"/>
              <w:rPr>
                <w:rFonts w:hint="default"/>
                <w:sz w:val="24"/>
              </w:rPr>
            </w:pPr>
          </w:p>
        </w:tc>
        <w:tc>
          <w:tcPr>
            <w:tcW w:w="1310" w:type="dxa"/>
            <w:vMerge w:val="continue"/>
            <w:vAlign w:val="center"/>
          </w:tcPr>
          <w:p>
            <w:pPr>
              <w:pStyle w:val="0"/>
              <w:widowControl w:val="1"/>
              <w:spacing w:line="0" w:lineRule="atLeast"/>
              <w:rPr>
                <w:rFonts w:hint="default"/>
                <w:sz w:val="24"/>
              </w:rPr>
            </w:pPr>
          </w:p>
        </w:tc>
        <w:tc>
          <w:tcPr>
            <w:tcW w:w="5910" w:type="dxa"/>
            <w:shd w:val="clear" w:color="auto" w:fill="auto"/>
            <w:vAlign w:val="top"/>
          </w:tcPr>
          <w:p>
            <w:pPr>
              <w:pStyle w:val="15"/>
              <w:widowControl w:val="1"/>
              <w:numPr>
                <w:ilvl w:val="0"/>
                <w:numId w:val="3"/>
              </w:numPr>
              <w:spacing w:line="0" w:lineRule="atLeast"/>
              <w:rPr>
                <w:rFonts w:hint="default"/>
                <w:sz w:val="24"/>
              </w:rPr>
            </w:pPr>
            <w:r>
              <w:rPr>
                <w:rFonts w:hint="eastAsia"/>
                <w:sz w:val="24"/>
              </w:rPr>
              <w:t>　①に加え、</w:t>
            </w:r>
            <w:r>
              <w:rPr>
                <w:rFonts w:hint="default"/>
                <w:sz w:val="24"/>
              </w:rPr>
              <w:t>GAP</w:t>
            </w:r>
            <w:r>
              <w:rPr>
                <w:rFonts w:hint="default"/>
                <w:sz w:val="24"/>
              </w:rPr>
              <w:t>認証</w:t>
            </w:r>
            <w:r>
              <w:rPr>
                <w:rFonts w:hint="eastAsia"/>
                <w:sz w:val="24"/>
              </w:rPr>
              <w:t>等を取得する</w:t>
            </w:r>
            <w:r>
              <w:rPr>
                <w:rFonts w:hint="eastAsia"/>
                <w:sz w:val="24"/>
                <w:vertAlign w:val="superscript"/>
              </w:rPr>
              <w:t>※２</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restart"/>
            <w:shd w:val="clear" w:color="auto" w:fill="auto"/>
            <w:vAlign w:val="center"/>
          </w:tcPr>
          <w:p>
            <w:pPr>
              <w:pStyle w:val="0"/>
              <w:widowControl w:val="1"/>
              <w:spacing w:line="0" w:lineRule="atLeast"/>
              <w:jc w:val="center"/>
              <w:rPr>
                <w:rFonts w:hint="default"/>
                <w:sz w:val="24"/>
              </w:rPr>
            </w:pPr>
            <w:r>
              <w:rPr>
                <w:rFonts w:hint="eastAsia"/>
                <w:sz w:val="24"/>
              </w:rPr>
              <w:t>４</w:t>
            </w:r>
          </w:p>
        </w:tc>
        <w:tc>
          <w:tcPr>
            <w:tcW w:w="1310" w:type="dxa"/>
            <w:vMerge w:val="restart"/>
            <w:vAlign w:val="center"/>
          </w:tcPr>
          <w:p>
            <w:pPr>
              <w:pStyle w:val="0"/>
              <w:widowControl w:val="1"/>
              <w:spacing w:line="0" w:lineRule="atLeast"/>
              <w:ind w:left="312" w:hanging="312" w:hangingChars="130"/>
              <w:rPr>
                <w:rFonts w:hint="default"/>
                <w:sz w:val="24"/>
              </w:rPr>
            </w:pPr>
            <w:r>
              <w:rPr>
                <w:rFonts w:hint="eastAsia"/>
                <w:sz w:val="24"/>
              </w:rPr>
              <w:t>経営の</w:t>
            </w:r>
          </w:p>
          <w:p>
            <w:pPr>
              <w:pStyle w:val="0"/>
              <w:widowControl w:val="1"/>
              <w:spacing w:line="0" w:lineRule="atLeast"/>
              <w:ind w:left="312" w:hanging="312" w:hangingChars="130"/>
              <w:rPr>
                <w:rFonts w:hint="default"/>
                <w:sz w:val="24"/>
              </w:rPr>
            </w:pPr>
            <w:r>
              <w:rPr>
                <w:rFonts w:hint="eastAsia"/>
                <w:sz w:val="24"/>
              </w:rPr>
              <w:t>発展</w:t>
            </w:r>
          </w:p>
        </w:tc>
        <w:tc>
          <w:tcPr>
            <w:tcW w:w="5910" w:type="dxa"/>
            <w:shd w:val="clear" w:color="auto" w:fill="auto"/>
            <w:vAlign w:val="top"/>
          </w:tcPr>
          <w:p>
            <w:pPr>
              <w:pStyle w:val="15"/>
              <w:widowControl w:val="1"/>
              <w:numPr>
                <w:ilvl w:val="0"/>
                <w:numId w:val="5"/>
              </w:numPr>
              <w:spacing w:line="0" w:lineRule="atLeast"/>
              <w:rPr>
                <w:rFonts w:hint="eastAsia"/>
                <w:sz w:val="24"/>
              </w:rPr>
            </w:pPr>
            <w:r>
              <w:rPr>
                <w:rFonts w:hint="eastAsia"/>
                <w:sz w:val="24"/>
              </w:rPr>
              <w:t>目標年度の経営規模の増加割合が、成果目標で定める基準より　</w:t>
            </w:r>
            <w:r>
              <w:rPr>
                <w:rFonts w:hint="default"/>
                <w:sz w:val="24"/>
              </w:rPr>
              <w:t>50</w:t>
            </w:r>
            <w:r>
              <w:rPr>
                <w:rFonts w:hint="default"/>
                <w:sz w:val="24"/>
              </w:rPr>
              <w:t>ポイント以上高い</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continue"/>
            <w:shd w:val="clear" w:color="auto" w:fill="auto"/>
            <w:vAlign w:val="center"/>
          </w:tcPr>
          <w:p>
            <w:pPr>
              <w:pStyle w:val="0"/>
              <w:widowControl w:val="1"/>
              <w:spacing w:line="0" w:lineRule="atLeast"/>
              <w:jc w:val="center"/>
              <w:rPr>
                <w:rFonts w:hint="eastAsia"/>
                <w:sz w:val="24"/>
              </w:rPr>
            </w:pPr>
          </w:p>
        </w:tc>
        <w:tc>
          <w:tcPr>
            <w:tcW w:w="1310" w:type="dxa"/>
            <w:vMerge w:val="continue"/>
            <w:vAlign w:val="center"/>
          </w:tcPr>
          <w:p>
            <w:pPr>
              <w:pStyle w:val="0"/>
              <w:widowControl w:val="1"/>
              <w:spacing w:line="0" w:lineRule="atLeast"/>
              <w:ind w:left="312" w:hanging="312" w:hangingChars="130"/>
              <w:rPr>
                <w:rFonts w:hint="eastAsia"/>
                <w:sz w:val="24"/>
              </w:rPr>
            </w:pPr>
          </w:p>
        </w:tc>
        <w:tc>
          <w:tcPr>
            <w:tcW w:w="5910" w:type="dxa"/>
            <w:shd w:val="clear" w:color="auto" w:fill="auto"/>
            <w:vAlign w:val="top"/>
          </w:tcPr>
          <w:p>
            <w:pPr>
              <w:pStyle w:val="15"/>
              <w:widowControl w:val="1"/>
              <w:numPr>
                <w:ilvl w:val="0"/>
                <w:numId w:val="5"/>
              </w:numPr>
              <w:spacing w:line="0" w:lineRule="atLeast"/>
              <w:rPr>
                <w:rFonts w:hint="eastAsia"/>
                <w:sz w:val="24"/>
              </w:rPr>
            </w:pPr>
            <w:r>
              <w:rPr>
                <w:rFonts w:hint="default"/>
                <w:sz w:val="24"/>
              </w:rPr>
              <w:t>40</w:t>
            </w:r>
            <w:r>
              <w:rPr>
                <w:rFonts w:hint="default"/>
                <w:sz w:val="24"/>
              </w:rPr>
              <w:t>ポイント以上高い</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continue"/>
            <w:shd w:val="clear" w:color="auto" w:fill="auto"/>
            <w:vAlign w:val="center"/>
          </w:tcPr>
          <w:p>
            <w:pPr>
              <w:pStyle w:val="0"/>
              <w:widowControl w:val="1"/>
              <w:spacing w:line="0" w:lineRule="atLeast"/>
              <w:jc w:val="center"/>
              <w:rPr>
                <w:rFonts w:hint="eastAsia"/>
                <w:sz w:val="24"/>
              </w:rPr>
            </w:pPr>
          </w:p>
        </w:tc>
        <w:tc>
          <w:tcPr>
            <w:tcW w:w="1310" w:type="dxa"/>
            <w:vMerge w:val="continue"/>
            <w:vAlign w:val="center"/>
          </w:tcPr>
          <w:p>
            <w:pPr>
              <w:pStyle w:val="0"/>
              <w:widowControl w:val="1"/>
              <w:spacing w:line="0" w:lineRule="atLeast"/>
              <w:ind w:left="312" w:hanging="312" w:hangingChars="130"/>
              <w:rPr>
                <w:rFonts w:hint="eastAsia"/>
                <w:sz w:val="24"/>
              </w:rPr>
            </w:pPr>
          </w:p>
        </w:tc>
        <w:tc>
          <w:tcPr>
            <w:tcW w:w="5910" w:type="dxa"/>
            <w:shd w:val="clear" w:color="auto" w:fill="auto"/>
            <w:vAlign w:val="top"/>
          </w:tcPr>
          <w:p>
            <w:pPr>
              <w:pStyle w:val="15"/>
              <w:widowControl w:val="1"/>
              <w:numPr>
                <w:ilvl w:val="0"/>
                <w:numId w:val="5"/>
              </w:numPr>
              <w:spacing w:line="0" w:lineRule="atLeast"/>
              <w:rPr>
                <w:rFonts w:hint="eastAsia"/>
                <w:sz w:val="24"/>
              </w:rPr>
            </w:pPr>
            <w:r>
              <w:rPr>
                <w:rFonts w:hint="default"/>
                <w:sz w:val="24"/>
              </w:rPr>
              <w:t>30</w:t>
            </w:r>
            <w:r>
              <w:rPr>
                <w:rFonts w:hint="default"/>
                <w:sz w:val="24"/>
              </w:rPr>
              <w:t>ポイント以上高い</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continue"/>
            <w:shd w:val="clear" w:color="auto" w:fill="auto"/>
            <w:vAlign w:val="center"/>
          </w:tcPr>
          <w:p>
            <w:pPr>
              <w:pStyle w:val="0"/>
              <w:widowControl w:val="1"/>
              <w:spacing w:line="0" w:lineRule="atLeast"/>
              <w:jc w:val="center"/>
              <w:rPr>
                <w:rFonts w:hint="eastAsia"/>
                <w:sz w:val="24"/>
              </w:rPr>
            </w:pPr>
          </w:p>
        </w:tc>
        <w:tc>
          <w:tcPr>
            <w:tcW w:w="1310" w:type="dxa"/>
            <w:vMerge w:val="continue"/>
            <w:vAlign w:val="center"/>
          </w:tcPr>
          <w:p>
            <w:pPr>
              <w:pStyle w:val="0"/>
              <w:widowControl w:val="1"/>
              <w:spacing w:line="0" w:lineRule="atLeast"/>
              <w:ind w:left="312" w:hanging="312" w:hangingChars="130"/>
              <w:rPr>
                <w:rFonts w:hint="eastAsia"/>
                <w:sz w:val="24"/>
              </w:rPr>
            </w:pPr>
          </w:p>
        </w:tc>
        <w:tc>
          <w:tcPr>
            <w:tcW w:w="5910" w:type="dxa"/>
            <w:shd w:val="clear" w:color="auto" w:fill="auto"/>
            <w:vAlign w:val="top"/>
          </w:tcPr>
          <w:p>
            <w:pPr>
              <w:pStyle w:val="15"/>
              <w:widowControl w:val="1"/>
              <w:numPr>
                <w:ilvl w:val="0"/>
                <w:numId w:val="5"/>
              </w:numPr>
              <w:spacing w:line="0" w:lineRule="atLeast"/>
              <w:rPr>
                <w:rFonts w:hint="eastAsia"/>
                <w:sz w:val="24"/>
              </w:rPr>
            </w:pPr>
            <w:r>
              <w:rPr>
                <w:rFonts w:hint="default"/>
                <w:sz w:val="24"/>
              </w:rPr>
              <w:t>20</w:t>
            </w:r>
            <w:r>
              <w:rPr>
                <w:rFonts w:hint="default"/>
                <w:sz w:val="24"/>
              </w:rPr>
              <w:t>ポイント以上高い</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continue"/>
            <w:shd w:val="clear" w:color="auto" w:fill="auto"/>
            <w:vAlign w:val="center"/>
          </w:tcPr>
          <w:p>
            <w:pPr>
              <w:pStyle w:val="0"/>
              <w:widowControl w:val="1"/>
              <w:spacing w:line="0" w:lineRule="atLeast"/>
              <w:jc w:val="center"/>
              <w:rPr>
                <w:rFonts w:hint="eastAsia"/>
                <w:sz w:val="24"/>
              </w:rPr>
            </w:pPr>
          </w:p>
        </w:tc>
        <w:tc>
          <w:tcPr>
            <w:tcW w:w="1310" w:type="dxa"/>
            <w:vMerge w:val="continue"/>
            <w:vAlign w:val="center"/>
          </w:tcPr>
          <w:p>
            <w:pPr>
              <w:pStyle w:val="0"/>
              <w:widowControl w:val="1"/>
              <w:spacing w:line="0" w:lineRule="atLeast"/>
              <w:ind w:left="312" w:hanging="312" w:hangingChars="130"/>
              <w:rPr>
                <w:rFonts w:hint="eastAsia"/>
                <w:sz w:val="24"/>
              </w:rPr>
            </w:pPr>
          </w:p>
        </w:tc>
        <w:tc>
          <w:tcPr>
            <w:tcW w:w="5910" w:type="dxa"/>
            <w:shd w:val="clear" w:color="auto" w:fill="auto"/>
            <w:vAlign w:val="top"/>
          </w:tcPr>
          <w:p>
            <w:pPr>
              <w:pStyle w:val="15"/>
              <w:widowControl w:val="1"/>
              <w:numPr>
                <w:ilvl w:val="0"/>
                <w:numId w:val="5"/>
              </w:numPr>
              <w:spacing w:line="0" w:lineRule="atLeast"/>
              <w:rPr>
                <w:rFonts w:hint="eastAsia"/>
                <w:sz w:val="24"/>
              </w:rPr>
            </w:pPr>
            <w:r>
              <w:rPr>
                <w:rFonts w:hint="default"/>
                <w:sz w:val="24"/>
              </w:rPr>
              <w:t>10</w:t>
            </w:r>
            <w:r>
              <w:rPr>
                <w:rFonts w:hint="default"/>
                <w:sz w:val="24"/>
              </w:rPr>
              <w:t>ポイント以上高い</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restart"/>
            <w:shd w:val="clear" w:color="auto" w:fill="auto"/>
            <w:vAlign w:val="center"/>
          </w:tcPr>
          <w:p>
            <w:pPr>
              <w:pStyle w:val="0"/>
              <w:widowControl w:val="1"/>
              <w:spacing w:line="0" w:lineRule="atLeast"/>
              <w:jc w:val="center"/>
              <w:rPr>
                <w:rFonts w:hint="default"/>
                <w:sz w:val="24"/>
              </w:rPr>
            </w:pPr>
            <w:r>
              <w:rPr>
                <w:rFonts w:hint="eastAsia"/>
                <w:sz w:val="24"/>
              </w:rPr>
              <w:t>５</w:t>
            </w:r>
          </w:p>
        </w:tc>
        <w:tc>
          <w:tcPr>
            <w:tcW w:w="1310" w:type="dxa"/>
            <w:vMerge w:val="restart"/>
            <w:vAlign w:val="center"/>
          </w:tcPr>
          <w:p>
            <w:pPr>
              <w:pStyle w:val="0"/>
              <w:widowControl w:val="1"/>
              <w:spacing w:line="0" w:lineRule="atLeast"/>
              <w:ind w:left="312" w:hanging="312" w:hangingChars="130"/>
              <w:rPr>
                <w:rFonts w:hint="default"/>
                <w:sz w:val="24"/>
              </w:rPr>
            </w:pPr>
            <w:r>
              <w:rPr>
                <w:rFonts w:hint="eastAsia"/>
                <w:sz w:val="24"/>
              </w:rPr>
              <w:t>法人化</w:t>
            </w:r>
          </w:p>
        </w:tc>
        <w:tc>
          <w:tcPr>
            <w:tcW w:w="5910" w:type="dxa"/>
            <w:shd w:val="clear" w:color="auto" w:fill="auto"/>
            <w:vAlign w:val="top"/>
          </w:tcPr>
          <w:p>
            <w:pPr>
              <w:pStyle w:val="15"/>
              <w:widowControl w:val="1"/>
              <w:numPr>
                <w:ilvl w:val="0"/>
                <w:numId w:val="6"/>
              </w:numPr>
              <w:spacing w:line="0" w:lineRule="atLeast"/>
              <w:rPr>
                <w:rFonts w:hint="default"/>
                <w:sz w:val="24"/>
              </w:rPr>
            </w:pPr>
            <w:r>
              <w:rPr>
                <w:rFonts w:hint="eastAsia"/>
                <w:sz w:val="24"/>
              </w:rPr>
              <w:t>　農業経営を法人化している又は事業実施年度内に法人化する</w:t>
            </w:r>
          </w:p>
        </w:tc>
        <w:tc>
          <w:tcPr>
            <w:tcW w:w="1131" w:type="dxa"/>
            <w:shd w:val="clear" w:color="auto" w:fill="auto"/>
            <w:vAlign w:val="center"/>
          </w:tcPr>
          <w:p>
            <w:pPr>
              <w:pStyle w:val="0"/>
              <w:widowControl w:val="1"/>
              <w:spacing w:line="0" w:lineRule="atLeast"/>
              <w:jc w:val="center"/>
              <w:rPr>
                <w:rFonts w:hint="default"/>
                <w:sz w:val="24"/>
              </w:rPr>
            </w:pPr>
          </w:p>
        </w:tc>
      </w:tr>
      <w:tr>
        <w:trPr/>
        <w:tc>
          <w:tcPr>
            <w:tcW w:w="576" w:type="dxa"/>
            <w:vMerge w:val="continue"/>
            <w:shd w:val="clear" w:color="auto" w:fill="auto"/>
            <w:vAlign w:val="center"/>
          </w:tcPr>
          <w:p>
            <w:pPr>
              <w:pStyle w:val="0"/>
              <w:widowControl w:val="1"/>
              <w:spacing w:line="0" w:lineRule="atLeast"/>
              <w:jc w:val="center"/>
              <w:rPr>
                <w:rFonts w:hint="default"/>
                <w:sz w:val="24"/>
              </w:rPr>
            </w:pPr>
          </w:p>
        </w:tc>
        <w:tc>
          <w:tcPr>
            <w:tcW w:w="1310" w:type="dxa"/>
            <w:vMerge w:val="continue"/>
            <w:vAlign w:val="center"/>
          </w:tcPr>
          <w:p>
            <w:pPr>
              <w:pStyle w:val="0"/>
              <w:widowControl w:val="1"/>
              <w:spacing w:line="0" w:lineRule="atLeast"/>
              <w:ind w:left="312" w:hanging="312" w:hangingChars="130"/>
              <w:rPr>
                <w:rFonts w:hint="default"/>
                <w:sz w:val="24"/>
              </w:rPr>
            </w:pPr>
          </w:p>
        </w:tc>
        <w:tc>
          <w:tcPr>
            <w:tcW w:w="5910" w:type="dxa"/>
            <w:shd w:val="clear" w:color="auto" w:fill="auto"/>
            <w:vAlign w:val="top"/>
          </w:tcPr>
          <w:p>
            <w:pPr>
              <w:pStyle w:val="15"/>
              <w:widowControl w:val="1"/>
              <w:numPr>
                <w:ilvl w:val="0"/>
                <w:numId w:val="6"/>
              </w:numPr>
              <w:spacing w:line="0" w:lineRule="atLeast"/>
              <w:rPr>
                <w:rFonts w:hint="default"/>
                <w:sz w:val="24"/>
              </w:rPr>
            </w:pPr>
            <w:r>
              <w:rPr>
                <w:rFonts w:hint="eastAsia"/>
                <w:sz w:val="24"/>
              </w:rPr>
              <w:t>　目標年度までに農業経営を法人化する</w:t>
            </w:r>
          </w:p>
        </w:tc>
        <w:tc>
          <w:tcPr>
            <w:tcW w:w="1131" w:type="dxa"/>
            <w:shd w:val="clear" w:color="auto" w:fill="auto"/>
            <w:vAlign w:val="center"/>
          </w:tcPr>
          <w:p>
            <w:pPr>
              <w:pStyle w:val="0"/>
              <w:widowControl w:val="1"/>
              <w:spacing w:line="0" w:lineRule="atLeast"/>
              <w:jc w:val="center"/>
              <w:rPr>
                <w:rFonts w:hint="default"/>
                <w:sz w:val="24"/>
              </w:rPr>
            </w:pPr>
          </w:p>
        </w:tc>
      </w:tr>
      <w:tr>
        <w:trPr>
          <w:trHeight w:val="258" w:hRule="atLeast"/>
        </w:trPr>
        <w:tc>
          <w:tcPr>
            <w:tcW w:w="576" w:type="dxa"/>
            <w:vAlign w:val="center"/>
          </w:tcPr>
          <w:p>
            <w:pPr>
              <w:pStyle w:val="0"/>
              <w:widowControl w:val="1"/>
              <w:spacing w:line="0" w:lineRule="atLeast"/>
              <w:jc w:val="center"/>
              <w:rPr>
                <w:rFonts w:hint="default"/>
                <w:sz w:val="24"/>
              </w:rPr>
            </w:pPr>
            <w:r>
              <w:rPr>
                <w:rFonts w:hint="eastAsia"/>
                <w:sz w:val="24"/>
              </w:rPr>
              <w:t>６</w:t>
            </w:r>
          </w:p>
        </w:tc>
        <w:tc>
          <w:tcPr>
            <w:tcW w:w="7220" w:type="dxa"/>
            <w:gridSpan w:val="2"/>
            <w:vAlign w:val="top"/>
          </w:tcPr>
          <w:p>
            <w:pPr>
              <w:pStyle w:val="0"/>
              <w:widowControl w:val="1"/>
              <w:spacing w:line="0" w:lineRule="atLeast"/>
              <w:rPr>
                <w:rFonts w:hint="default"/>
                <w:sz w:val="24"/>
              </w:rPr>
            </w:pPr>
            <w:r>
              <w:rPr>
                <w:rFonts w:hint="eastAsia"/>
                <w:sz w:val="24"/>
              </w:rPr>
              <w:t>家族経営協定を書面で締結している</w:t>
            </w:r>
            <w:r>
              <w:rPr>
                <w:rFonts w:hint="eastAsia"/>
                <w:sz w:val="24"/>
                <w:vertAlign w:val="superscript"/>
              </w:rPr>
              <w:t>※３</w:t>
            </w:r>
          </w:p>
        </w:tc>
        <w:tc>
          <w:tcPr>
            <w:tcW w:w="1131" w:type="dxa"/>
            <w:vAlign w:val="center"/>
          </w:tcPr>
          <w:p>
            <w:pPr>
              <w:pStyle w:val="0"/>
              <w:widowControl w:val="1"/>
              <w:spacing w:line="0" w:lineRule="atLeast"/>
              <w:jc w:val="center"/>
              <w:rPr>
                <w:rFonts w:hint="default"/>
                <w:sz w:val="24"/>
              </w:rPr>
            </w:pPr>
          </w:p>
        </w:tc>
      </w:tr>
      <w:tr>
        <w:trPr>
          <w:trHeight w:val="221" w:hRule="atLeast"/>
        </w:trPr>
        <w:tc>
          <w:tcPr>
            <w:tcW w:w="576" w:type="dxa"/>
            <w:vAlign w:val="center"/>
          </w:tcPr>
          <w:p>
            <w:pPr>
              <w:pStyle w:val="0"/>
              <w:spacing w:line="0" w:lineRule="atLeast"/>
              <w:jc w:val="center"/>
              <w:rPr>
                <w:rFonts w:hint="default"/>
                <w:sz w:val="24"/>
              </w:rPr>
            </w:pPr>
            <w:r>
              <w:rPr>
                <w:rFonts w:hint="eastAsia"/>
                <w:sz w:val="24"/>
              </w:rPr>
              <w:t>７</w:t>
            </w:r>
          </w:p>
        </w:tc>
        <w:tc>
          <w:tcPr>
            <w:tcW w:w="7220" w:type="dxa"/>
            <w:gridSpan w:val="2"/>
            <w:vAlign w:val="top"/>
          </w:tcPr>
          <w:p>
            <w:pPr>
              <w:pStyle w:val="0"/>
              <w:spacing w:line="0" w:lineRule="atLeast"/>
              <w:rPr>
                <w:rFonts w:hint="default"/>
                <w:sz w:val="24"/>
              </w:rPr>
            </w:pPr>
            <w:r>
              <w:rPr>
                <w:rFonts w:hint="eastAsia"/>
                <w:sz w:val="24"/>
              </w:rPr>
              <w:t>農業版事業継続計画（</w:t>
            </w:r>
            <w:r>
              <w:rPr>
                <w:rFonts w:hint="default"/>
                <w:sz w:val="24"/>
              </w:rPr>
              <w:t>BCP</w:t>
            </w:r>
            <w:r>
              <w:rPr>
                <w:rFonts w:hint="default"/>
                <w:sz w:val="24"/>
              </w:rPr>
              <w:t>）</w:t>
            </w:r>
            <w:r>
              <w:rPr>
                <w:rFonts w:hint="eastAsia"/>
                <w:sz w:val="24"/>
              </w:rPr>
              <w:t>を</w:t>
            </w:r>
            <w:r>
              <w:rPr>
                <w:rFonts w:hint="default"/>
                <w:sz w:val="24"/>
              </w:rPr>
              <w:t>策定</w:t>
            </w:r>
            <w:r>
              <w:rPr>
                <w:rFonts w:hint="eastAsia"/>
                <w:sz w:val="24"/>
              </w:rPr>
              <w:t>している</w:t>
            </w:r>
          </w:p>
        </w:tc>
        <w:tc>
          <w:tcPr>
            <w:tcW w:w="1131" w:type="dxa"/>
            <w:vAlign w:val="center"/>
          </w:tcPr>
          <w:p>
            <w:pPr>
              <w:pStyle w:val="0"/>
              <w:spacing w:line="0" w:lineRule="atLeast"/>
              <w:jc w:val="center"/>
              <w:rPr>
                <w:rFonts w:hint="default"/>
                <w:sz w:val="24"/>
              </w:rPr>
            </w:pPr>
          </w:p>
        </w:tc>
      </w:tr>
      <w:tr>
        <w:trPr>
          <w:trHeight w:val="182" w:hRule="atLeast"/>
        </w:trPr>
        <w:tc>
          <w:tcPr>
            <w:tcW w:w="576" w:type="dxa"/>
            <w:vAlign w:val="center"/>
          </w:tcPr>
          <w:p>
            <w:pPr>
              <w:pStyle w:val="0"/>
              <w:spacing w:line="0" w:lineRule="atLeast"/>
              <w:jc w:val="center"/>
              <w:rPr>
                <w:rFonts w:hint="default"/>
                <w:sz w:val="24"/>
              </w:rPr>
            </w:pPr>
            <w:r>
              <w:rPr>
                <w:rFonts w:hint="eastAsia"/>
                <w:sz w:val="24"/>
              </w:rPr>
              <w:t>８</w:t>
            </w:r>
          </w:p>
        </w:tc>
        <w:tc>
          <w:tcPr>
            <w:tcW w:w="7220" w:type="dxa"/>
            <w:gridSpan w:val="2"/>
            <w:vAlign w:val="top"/>
          </w:tcPr>
          <w:p>
            <w:pPr>
              <w:pStyle w:val="0"/>
              <w:spacing w:line="0" w:lineRule="atLeast"/>
              <w:rPr>
                <w:rFonts w:hint="default"/>
                <w:sz w:val="24"/>
              </w:rPr>
            </w:pPr>
            <w:r>
              <w:rPr>
                <w:rFonts w:hint="eastAsia"/>
                <w:sz w:val="24"/>
              </w:rPr>
              <w:t>データを活用した農業を実践する</w:t>
            </w:r>
          </w:p>
        </w:tc>
        <w:tc>
          <w:tcPr>
            <w:tcW w:w="1131" w:type="dxa"/>
            <w:vAlign w:val="center"/>
          </w:tcPr>
          <w:p>
            <w:pPr>
              <w:pStyle w:val="0"/>
              <w:spacing w:line="0" w:lineRule="atLeast"/>
              <w:jc w:val="center"/>
              <w:rPr>
                <w:rFonts w:hint="default"/>
                <w:sz w:val="24"/>
              </w:rPr>
            </w:pPr>
          </w:p>
        </w:tc>
      </w:tr>
      <w:tr>
        <w:trPr>
          <w:trHeight w:val="527" w:hRule="atLeast"/>
        </w:trPr>
        <w:tc>
          <w:tcPr>
            <w:tcW w:w="576" w:type="dxa"/>
            <w:vAlign w:val="center"/>
          </w:tcPr>
          <w:p>
            <w:pPr>
              <w:pStyle w:val="0"/>
              <w:spacing w:line="0" w:lineRule="atLeast"/>
              <w:jc w:val="center"/>
              <w:rPr>
                <w:rFonts w:hint="default"/>
                <w:sz w:val="24"/>
              </w:rPr>
            </w:pPr>
            <w:r>
              <w:rPr>
                <w:rFonts w:hint="eastAsia"/>
                <w:sz w:val="24"/>
              </w:rPr>
              <w:t>９</w:t>
            </w:r>
          </w:p>
        </w:tc>
        <w:tc>
          <w:tcPr>
            <w:tcW w:w="7220" w:type="dxa"/>
            <w:gridSpan w:val="2"/>
            <w:vAlign w:val="top"/>
          </w:tcPr>
          <w:p>
            <w:pPr>
              <w:pStyle w:val="0"/>
              <w:spacing w:line="0" w:lineRule="atLeast"/>
              <w:rPr>
                <w:rFonts w:hint="default"/>
                <w:sz w:val="24"/>
              </w:rPr>
            </w:pPr>
            <w:r>
              <w:rPr>
                <w:rFonts w:hint="default"/>
                <w:sz w:val="24"/>
              </w:rPr>
              <w:t>みどりの食料システム法に基づく環境負荷低減事業活動実施計画又は特定環境負荷低減事業活動実施計画の認定を受ける</w:t>
            </w:r>
          </w:p>
        </w:tc>
        <w:tc>
          <w:tcPr>
            <w:tcW w:w="1131" w:type="dxa"/>
            <w:vAlign w:val="center"/>
          </w:tcPr>
          <w:p>
            <w:pPr>
              <w:pStyle w:val="0"/>
              <w:spacing w:line="0" w:lineRule="atLeast"/>
              <w:jc w:val="center"/>
              <w:rPr>
                <w:rFonts w:hint="default"/>
                <w:sz w:val="24"/>
              </w:rPr>
            </w:pPr>
          </w:p>
        </w:tc>
      </w:tr>
    </w:tbl>
    <w:p>
      <w:pPr>
        <w:pStyle w:val="0"/>
        <w:ind w:left="840" w:leftChars="200" w:hanging="400" w:hangingChars="200"/>
        <w:rPr>
          <w:rFonts w:hint="default"/>
          <w:color w:val="000000" w:themeColor="text1"/>
          <w:sz w:val="20"/>
        </w:rPr>
      </w:pPr>
    </w:p>
    <w:p>
      <w:pPr>
        <w:pStyle w:val="0"/>
        <w:ind w:left="840" w:leftChars="200" w:hanging="400" w:hangingChars="200"/>
        <w:rPr>
          <w:rFonts w:hint="default"/>
          <w:color w:val="000000" w:themeColor="text1"/>
          <w:sz w:val="20"/>
        </w:rPr>
      </w:pPr>
      <w:bookmarkStart w:id="0" w:name="_GoBack"/>
      <w:bookmarkEnd w:id="0"/>
      <w:r>
        <w:rPr>
          <w:rFonts w:hint="default"/>
          <w:color w:val="000000" w:themeColor="text1"/>
          <w:sz w:val="20"/>
        </w:rPr>
        <w:t>※</w:t>
      </w:r>
      <w:r>
        <w:rPr>
          <w:rFonts w:hint="default"/>
          <w:color w:val="000000" w:themeColor="text1"/>
          <w:sz w:val="20"/>
        </w:rPr>
        <w:t>１</w:t>
      </w:r>
      <w:r>
        <w:rPr>
          <w:rFonts w:hint="default"/>
          <w:color w:val="000000" w:themeColor="text1"/>
          <w:sz w:val="20"/>
        </w:rPr>
        <w:t xml:space="preserve"> </w:t>
      </w:r>
      <w:r>
        <w:rPr>
          <w:rFonts w:hint="default"/>
          <w:color w:val="000000" w:themeColor="text1"/>
          <w:sz w:val="20"/>
        </w:rPr>
        <w:t>支援分野は「技術・経営指導」、「農地確保支援」、「機械・施設等の確保支援」、「資金相談」、「農業者による指導」、「販路支援」、「生活に係る支援（住居、子育て等）」、「事務局・全体調整」。</w:t>
      </w:r>
    </w:p>
    <w:p>
      <w:pPr>
        <w:pStyle w:val="0"/>
        <w:ind w:left="840" w:leftChars="200" w:hanging="400" w:hangingChars="200"/>
        <w:rPr>
          <w:rFonts w:hint="default"/>
          <w:color w:val="000000" w:themeColor="text1"/>
          <w:sz w:val="20"/>
        </w:rPr>
      </w:pPr>
      <w:r>
        <w:rPr>
          <w:rFonts w:hint="default"/>
          <w:color w:val="000000" w:themeColor="text1"/>
          <w:sz w:val="20"/>
        </w:rPr>
        <w:t>※</w:t>
      </w:r>
      <w:r>
        <w:rPr>
          <w:rFonts w:hint="default"/>
          <w:color w:val="000000" w:themeColor="text1"/>
          <w:sz w:val="20"/>
        </w:rPr>
        <w:t>２</w:t>
      </w:r>
      <w:r>
        <w:rPr>
          <w:rFonts w:hint="default"/>
          <w:color w:val="000000" w:themeColor="text1"/>
          <w:sz w:val="20"/>
        </w:rPr>
        <w:t xml:space="preserve"> JGAP</w:t>
      </w:r>
      <w:r>
        <w:rPr>
          <w:rFonts w:hint="default"/>
          <w:color w:val="000000" w:themeColor="text1"/>
          <w:sz w:val="20"/>
        </w:rPr>
        <w:t>、</w:t>
      </w:r>
      <w:r>
        <w:rPr>
          <w:rFonts w:hint="default"/>
          <w:color w:val="000000" w:themeColor="text1"/>
          <w:sz w:val="20"/>
        </w:rPr>
        <w:t>ASIAGAP</w:t>
      </w:r>
      <w:r>
        <w:rPr>
          <w:rFonts w:hint="default"/>
          <w:color w:val="000000" w:themeColor="text1"/>
          <w:sz w:val="20"/>
        </w:rPr>
        <w:t>若しくは</w:t>
      </w:r>
      <w:r>
        <w:rPr>
          <w:rFonts w:hint="default"/>
          <w:color w:val="000000" w:themeColor="text1"/>
          <w:sz w:val="20"/>
        </w:rPr>
        <w:t>GLOBALG.A.P.</w:t>
      </w:r>
      <w:r>
        <w:rPr>
          <w:rFonts w:hint="default"/>
          <w:color w:val="000000" w:themeColor="text1"/>
          <w:sz w:val="20"/>
        </w:rPr>
        <w:t>の認証を取得し、又は国際水準</w:t>
      </w:r>
      <w:r>
        <w:rPr>
          <w:rFonts w:hint="default"/>
          <w:color w:val="000000" w:themeColor="text1"/>
          <w:sz w:val="20"/>
        </w:rPr>
        <w:t>GAP</w:t>
      </w:r>
      <w:r>
        <w:rPr>
          <w:rFonts w:hint="default"/>
          <w:color w:val="000000" w:themeColor="text1"/>
          <w:sz w:val="20"/>
        </w:rPr>
        <w:t>ガイドラインに準拠した都道府県</w:t>
      </w:r>
      <w:r>
        <w:rPr>
          <w:rFonts w:hint="default"/>
          <w:color w:val="000000" w:themeColor="text1"/>
          <w:sz w:val="20"/>
        </w:rPr>
        <w:t>GAP</w:t>
      </w:r>
      <w:r>
        <w:rPr>
          <w:rFonts w:hint="default"/>
          <w:color w:val="000000" w:themeColor="text1"/>
          <w:sz w:val="20"/>
        </w:rPr>
        <w:t>のうち、自治体等が農業者の都道府県</w:t>
      </w:r>
      <w:r>
        <w:rPr>
          <w:rFonts w:hint="default"/>
          <w:color w:val="000000" w:themeColor="text1"/>
          <w:sz w:val="20"/>
        </w:rPr>
        <w:t>GAP</w:t>
      </w:r>
      <w:r>
        <w:rPr>
          <w:rFonts w:hint="default"/>
          <w:color w:val="000000" w:themeColor="text1"/>
          <w:sz w:val="20"/>
        </w:rPr>
        <w:t>への取組状況を審査する仕組みを有しているものについて、当該審査に合格したものも含まれるものとする。</w:t>
      </w:r>
    </w:p>
    <w:p>
      <w:pPr>
        <w:pStyle w:val="0"/>
        <w:ind w:left="840" w:leftChars="200" w:hanging="400" w:hangingChars="200"/>
        <w:rPr>
          <w:rFonts w:hint="default"/>
          <w:color w:val="000000" w:themeColor="text1"/>
          <w:sz w:val="20"/>
        </w:rPr>
      </w:pPr>
      <w:r>
        <w:rPr>
          <w:rFonts w:hint="default"/>
          <w:color w:val="000000" w:themeColor="text1"/>
          <w:sz w:val="20"/>
        </w:rPr>
        <w:t>※</w:t>
      </w:r>
      <w:r>
        <w:rPr>
          <w:rFonts w:hint="default"/>
          <w:color w:val="000000" w:themeColor="text1"/>
          <w:sz w:val="20"/>
        </w:rPr>
        <w:t>３</w:t>
      </w:r>
      <w:r>
        <w:rPr>
          <w:rFonts w:hint="default"/>
          <w:color w:val="000000" w:themeColor="text1"/>
          <w:sz w:val="20"/>
        </w:rPr>
        <w:t xml:space="preserve"> </w:t>
      </w:r>
      <w:r>
        <w:rPr>
          <w:rFonts w:hint="default"/>
          <w:color w:val="000000" w:themeColor="text1"/>
          <w:sz w:val="20"/>
        </w:rPr>
        <w:t>法人の場合は就業規則等、一人で農業経営する場合は家族経営協定に類するものとして自らの働き方に関する規定を書面で定めている場合に同協定を定めているものとみなす。</w:t>
      </w:r>
    </w:p>
    <w:sectPr>
      <w:pgSz w:w="11910" w:h="16840"/>
      <w:pgMar w:top="1123" w:right="1276" w:bottom="522" w:left="1276" w:header="720" w:footer="68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00ABAC"/>
    <w:lvl w:ilvl="0" w:tplc="726C25EA">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abstractNum w:abstractNumId="1">
    <w:nsid w:val="00000002"/>
    <w:multiLevelType w:val="hybridMultilevel"/>
    <w:tmpl w:val="ECF623E4"/>
    <w:lvl w:ilvl="0" w:tplc="7DB2B28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6F8E2E50"/>
    <w:lvl w:ilvl="0" w:tplc="7DB2B28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nsid w:val="00000004"/>
    <w:multiLevelType w:val="hybridMultilevel"/>
    <w:tmpl w:val="2DA6C56E"/>
    <w:lvl w:ilvl="0" w:tplc="7DB2B28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nsid w:val="00000005"/>
    <w:multiLevelType w:val="hybridMultilevel"/>
    <w:tmpl w:val="FC588A2E"/>
    <w:lvl w:ilvl="0" w:tplc="69D68DC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nsid w:val="00000006"/>
    <w:multiLevelType w:val="hybridMultilevel"/>
    <w:tmpl w:val="0FEE5E9A"/>
    <w:lvl w:ilvl="0" w:tplc="7DB2B28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1077" w:hanging="405"/>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kern w:val="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kern w:val="0"/>
      <w:sz w:val="22"/>
    </w:rPr>
  </w:style>
  <w:style w:type="table" w:styleId="20">
    <w:name w:val="Table Grid"/>
    <w:basedOn w:val="11"/>
    <w:next w:val="20"/>
    <w:link w:val="0"/>
    <w:uiPriority w:val="0"/>
    <w:pPr>
      <w:widowControl w:val="0"/>
      <w:autoSpaceDE w:val="0"/>
      <w:autoSpaceDN w:val="0"/>
    </w:pPr>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TotalTime>
  <Pages>1</Pages>
  <Words>170</Words>
  <Characters>969</Characters>
  <Application>JUST Note</Application>
  <Lines>8</Lines>
  <Paragraphs>2</Paragraphs>
  <CharactersWithSpaces>1137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　卓矢</dc:creator>
  <cp:lastModifiedBy>仙石　徳志</cp:lastModifiedBy>
  <cp:lastPrinted>2022-04-15T09:56:00Z</cp:lastPrinted>
  <dcterms:created xsi:type="dcterms:W3CDTF">2022-04-13T10:01:00Z</dcterms:created>
  <dcterms:modified xsi:type="dcterms:W3CDTF">2025-02-27T05:13:30Z</dcterms:modified>
  <cp:revision>6</cp:revision>
</cp:coreProperties>
</file>